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C55A0" w14:textId="77777777" w:rsidR="003066B3" w:rsidRDefault="003066B3" w:rsidP="003066B3">
      <w:pPr>
        <w:widowControl w:val="0"/>
        <w:bidi/>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67DAAFF" w14:textId="77777777" w:rsidR="003066B3" w:rsidRDefault="003066B3" w:rsidP="003066B3">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7E15EA99" w14:textId="77777777" w:rsidR="003066B3" w:rsidRDefault="003066B3" w:rsidP="003066B3">
      <w:pPr>
        <w:widowControl w:val="0"/>
        <w:bidi/>
        <w:spacing w:after="240"/>
        <w:jc w:val="center"/>
        <w:rPr>
          <w:rFonts w:cs="B Mitra" w:hint="cs"/>
          <w:b/>
          <w:bCs/>
          <w:sz w:val="32"/>
          <w:szCs w:val="32"/>
          <w:rtl/>
          <w:lang w:bidi="fa-IR"/>
        </w:rPr>
      </w:pPr>
      <w:r>
        <w:rPr>
          <w:rFonts w:cs="B Mitra" w:hint="cs"/>
          <w:b/>
          <w:bCs/>
          <w:sz w:val="32"/>
          <w:szCs w:val="32"/>
          <w:rtl/>
          <w:lang w:bidi="fa-IR"/>
        </w:rPr>
        <w:t>جلسه 1015</w:t>
      </w:r>
    </w:p>
    <w:bookmarkEnd w:id="0"/>
    <w:p w14:paraId="29D5FA5A" w14:textId="77777777" w:rsidR="003066B3" w:rsidRDefault="003066B3" w:rsidP="003066B3">
      <w:pPr>
        <w:widowControl w:val="0"/>
        <w:bidi/>
        <w:spacing w:before="240" w:line="261" w:lineRule="auto"/>
        <w:ind w:firstLine="289"/>
        <w:jc w:val="both"/>
        <w:rPr>
          <w:rFonts w:cs="2  Mitra" w:hint="cs"/>
          <w:sz w:val="28"/>
          <w:szCs w:val="28"/>
          <w:rtl/>
        </w:rPr>
      </w:pPr>
    </w:p>
    <w:p w14:paraId="10F21176" w14:textId="77777777" w:rsidR="003066B3" w:rsidRDefault="003066B3" w:rsidP="003066B3">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lang w:bidi="fa-IR"/>
        </w:rPr>
        <w:t>مرحوم آخوند با تفصیل در مسأله لزوم فحص از مخصص قبل از عمل به عام می</w:t>
      </w:r>
      <w:r>
        <w:rPr>
          <w:rFonts w:cs="2  Mitra" w:hint="cs"/>
          <w:color w:val="000000" w:themeColor="text1"/>
          <w:sz w:val="28"/>
          <w:szCs w:val="28"/>
          <w:rtl/>
          <w:lang w:bidi="fa-IR"/>
        </w:rPr>
        <w:softHyphen/>
        <w:t xml:space="preserve">فرماید: </w:t>
      </w:r>
      <w:r>
        <w:rPr>
          <w:rFonts w:cs="2  Mitra" w:hint="cs"/>
          <w:color w:val="000000" w:themeColor="text1"/>
          <w:sz w:val="28"/>
          <w:szCs w:val="28"/>
          <w:rtl/>
        </w:rPr>
        <w:t>در صورتی که عام در معرض تخصیص باشد ـ همچنانکه در عمومات کتاب و سنت چنین است ـ در این صورت تمسک به عموم پیش از فحص جایز نیست. دلیل این مطلب آن است که اگر قطع به استقرار سیره‌ی عقلا بر ترک عمل به عام قبل از فحص در این موارد نداشته باشیم، دست‌کم در وجود سيره بر عمل به عام بدون فحص تردید وجود دارد، خصوصاً که ادعای اجماع يا عدم خلاف در عدم جواز اخذ به عام قبل از فحص از خاص شده است، و همین مقدار برای اثبات عدم جواز کافی است.</w:t>
      </w:r>
    </w:p>
    <w:p w14:paraId="31948946" w14:textId="77777777" w:rsidR="003066B3" w:rsidRDefault="003066B3" w:rsidP="003066B3">
      <w:pPr>
        <w:widowControl w:val="0"/>
        <w:bidi/>
        <w:spacing w:before="240"/>
        <w:ind w:firstLine="284"/>
        <w:jc w:val="both"/>
        <w:rPr>
          <w:rFonts w:cs="2  Mitra"/>
          <w:color w:val="000000" w:themeColor="text1"/>
          <w:sz w:val="28"/>
          <w:szCs w:val="28"/>
        </w:rPr>
      </w:pPr>
      <w:r>
        <w:rPr>
          <w:rFonts w:cs="2  Mitra" w:hint="cs"/>
          <w:color w:val="000000" w:themeColor="text1"/>
          <w:sz w:val="28"/>
          <w:szCs w:val="28"/>
          <w:rtl/>
        </w:rPr>
        <w:t>اما اگر عام در معرض تخصیص نباشد ـ همان‌گونه که در غالب عمومات جاری بر زبان اهل محاورات چنین است ـ شکی در آن نیست که سیره‌ی عقلا بر عمل به آن بدون فحص از مخصص مستقر است.</w:t>
      </w:r>
      <w:r>
        <w:rPr>
          <w:rStyle w:val="FootnoteReference"/>
          <w:rFonts w:cs="Abz-2 (Badr)"/>
          <w:sz w:val="28"/>
          <w:szCs w:val="28"/>
          <w:rtl/>
        </w:rPr>
        <w:footnoteReference w:id="2"/>
      </w:r>
    </w:p>
    <w:p w14:paraId="2A631F1E" w14:textId="77777777" w:rsidR="003066B3" w:rsidRDefault="003066B3" w:rsidP="003066B3">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مرحوم امام در توضیح مدعای مرحوم آخوند فرموده</w:t>
      </w:r>
      <w:r>
        <w:rPr>
          <w:rFonts w:cs="2  Mitra" w:hint="cs"/>
          <w:color w:val="000000" w:themeColor="text1"/>
          <w:sz w:val="28"/>
          <w:szCs w:val="28"/>
          <w:rtl/>
        </w:rPr>
        <w:softHyphen/>
        <w:t>اند: شارع مقدّس در تشریع احکام، همان روش عقلاء را دنبال کرده است. در محاورات شخصی، عمومات و مطلقات بدون فحص حجّت بوده و به احتمال وجود مخصّص منفصل، اعتنایی نمی‌شود. اما در مقام وضع قوانین، سیره عقلاء این است که عمومات و مطلقات جداگانه بیان شوند و مخصّصات و مقیّدات آنها به تدریج و در جای دیگر ذکر گردد. از این رو کتاب و سنت نیز چنین‌اند و عمومات و مطلقات آن‌ها بر پایه‌ی سیره‌ی عقلاء، همواره در معرض تخصیص و تقیید قرار دارند.</w:t>
      </w:r>
    </w:p>
    <w:p w14:paraId="37AD8FD3" w14:textId="77777777" w:rsidR="003066B3" w:rsidRDefault="003066B3" w:rsidP="003066B3">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از سوی دیگر صرف ظهور لفظ برای حجیت کفایت نمی‌کند؛ زیرا حجیت لفظ متوقف بر جریان اصل تطابق مراد استعمالی و مراد جدّی است و در مقام قانون‌گذاری، به خاطر آنچه گفته شد، بدون فحص از مخصّص و مقیّد، این اصل جاری نمی‌شود.</w:t>
      </w:r>
    </w:p>
    <w:p w14:paraId="187367E6" w14:textId="77777777" w:rsidR="003066B3" w:rsidRDefault="003066B3" w:rsidP="003066B3">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بنابر این تا زمانی که فحص از مخصّص صورت نگرفته باشد، عمومات و اطلاقات ادلّه حجیت و اعتبار نخواهند داشت.</w:t>
      </w:r>
    </w:p>
    <w:p w14:paraId="1E6598A8" w14:textId="77777777" w:rsidR="003066B3" w:rsidRDefault="003066B3" w:rsidP="003066B3">
      <w:pPr>
        <w:widowControl w:val="0"/>
        <w:bidi/>
        <w:spacing w:before="240"/>
        <w:ind w:firstLine="284"/>
        <w:jc w:val="both"/>
        <w:rPr>
          <w:rFonts w:cs="2  Mitra"/>
          <w:color w:val="000000" w:themeColor="text1"/>
          <w:sz w:val="28"/>
          <w:szCs w:val="28"/>
        </w:rPr>
      </w:pPr>
      <w:r>
        <w:rPr>
          <w:rFonts w:cs="2  Mitra" w:hint="cs"/>
          <w:color w:val="000000" w:themeColor="text1"/>
          <w:sz w:val="28"/>
          <w:szCs w:val="28"/>
          <w:rtl/>
          <w:lang w:bidi="fa-IR"/>
        </w:rPr>
        <w:lastRenderedPageBreak/>
        <w:t xml:space="preserve">در نتیجه </w:t>
      </w:r>
      <w:r>
        <w:rPr>
          <w:rFonts w:cs="2  Mitra" w:hint="cs"/>
          <w:color w:val="000000" w:themeColor="text1"/>
          <w:sz w:val="28"/>
          <w:szCs w:val="28"/>
          <w:rtl/>
        </w:rPr>
        <w:t>فحص در اینجا در حقیقت جست‌وجو از متمّم حجت است، نه از مزاحم آن، زیرا فحص مقدمه‌ای برای جریان اصل عقلایی خواهد بود و به وسیله‌ی آن، حجت کامل می‌گردد.</w:t>
      </w:r>
      <w:r>
        <w:rPr>
          <w:rStyle w:val="FootnoteReference"/>
          <w:rFonts w:cs="Abz-2 (Badr)"/>
          <w:sz w:val="28"/>
          <w:szCs w:val="28"/>
          <w:rtl/>
        </w:rPr>
        <w:footnoteReference w:id="3"/>
      </w:r>
    </w:p>
    <w:p w14:paraId="3A9E1E0D" w14:textId="77777777" w:rsidR="003066B3" w:rsidRDefault="003066B3" w:rsidP="003066B3">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حق نيز در این استدلال با مرحوم آخوند و مرحوم امام است و لازمه آن ـ همان‌گونه که مرحوم امام نیز تصریح کرده‌اند ـ اين است که تا زمانی که فحص از مخصّص در میان اخبار انجام نگیرد، عمومات وارد در آن‌ها حجّيت نداشته باشند.</w:t>
      </w:r>
    </w:p>
    <w:p w14:paraId="5EF3BB54" w14:textId="77777777" w:rsidR="003066B3" w:rsidRDefault="003066B3" w:rsidP="003066B3">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با توجه به این مطلب، اشکال وارد بر فرمایش مرحوم آخوند و مرحوم شیخ ـ که در ابتدای مسأله گذشت ـ مبنی بر این‌که بحث از لزوم فحص از مخصّص، پس از فراغ از حجّیت و اعتبار عام است،  آشکار می‌شود.</w:t>
      </w:r>
    </w:p>
    <w:p w14:paraId="476660DA" w14:textId="77777777" w:rsidR="003066B3" w:rsidRDefault="003066B3" w:rsidP="003066B3">
      <w:pPr>
        <w:widowControl w:val="0"/>
        <w:bidi/>
        <w:spacing w:before="240"/>
        <w:ind w:firstLine="284"/>
        <w:jc w:val="both"/>
        <w:rPr>
          <w:rFonts w:cs="2  Mitra"/>
          <w:color w:val="000000" w:themeColor="text1"/>
          <w:sz w:val="28"/>
          <w:szCs w:val="28"/>
          <w:lang w:bidi="fa-IR"/>
        </w:rPr>
      </w:pPr>
      <w:r>
        <w:rPr>
          <w:rFonts w:cs="2  Mitra" w:hint="cs"/>
          <w:color w:val="000000" w:themeColor="text1"/>
          <w:sz w:val="28"/>
          <w:szCs w:val="28"/>
          <w:rtl/>
        </w:rPr>
        <w:t>مرحوم محقّق اصفهانی نیز در اشکال بر فرمایش مرحوم آخوند ـ که میان لزوم فحص از مخصّص پیش از عمل به عام و لزوم فحص از دلیل پیش از اجرای اصول عملیه تفکیک کرده و فرموده‌اند: در فحص از خاص، جست‌وجو از چیزی است که مزاحم حجّت است نه از خود حجّت</w:t>
      </w:r>
      <w:r>
        <w:rPr>
          <w:rStyle w:val="FootnoteReference"/>
          <w:rFonts w:cs="Abz-2 (Badr)"/>
          <w:sz w:val="28"/>
          <w:szCs w:val="28"/>
          <w:rtl/>
        </w:rPr>
        <w:footnoteReference w:id="4"/>
      </w:r>
      <w:r>
        <w:rPr>
          <w:rFonts w:cs="2  Mitra" w:hint="cs"/>
          <w:color w:val="000000" w:themeColor="text1"/>
          <w:sz w:val="28"/>
          <w:szCs w:val="28"/>
          <w:rtl/>
        </w:rPr>
        <w:t>ـ می‌فرماید: تفاوتی که میان این دو مورد فرض شده مبتنی بر این پندار است که در باب عام، مقتضی حجّیت فی‌الجمله تمام بوده و بحث صرفاً در وجود مانع و معارض است، در حالی که در باب اصول عملیه، پیش از فحص اساساً حجّیت و اعتباری برای آن اصول وجود ندارد. اما اشکال این مدّعا آن است که دلیل اعتبار ظهور، سیره‌ی عقلاء است، و روشن است که عقلاء نمی‌توانند دو سیره داشته باشند که بر اساس یکی، ظهور عام و بر اساس دیگری، ظهور خاص اعتبار داشته باشد تا این دو سیره با یکدیگر در تعارض واقع شوند؛ بلکه سیره‌ی آنان يا مطلقاً بر عمل به ظهور عام است، یا مشروط به فحص از معارض می‌باشد</w:t>
      </w:r>
      <w:r>
        <w:rPr>
          <w:rFonts w:cs="2  Mitra" w:hint="cs"/>
          <w:color w:val="000000" w:themeColor="text1"/>
          <w:sz w:val="28"/>
          <w:szCs w:val="28"/>
          <w:rtl/>
          <w:lang w:bidi="fa-IR"/>
        </w:rPr>
        <w:t>.</w:t>
      </w:r>
      <w:r>
        <w:rPr>
          <w:rStyle w:val="FootnoteReference"/>
          <w:rFonts w:cs="Abz-2 (Badr)"/>
          <w:sz w:val="28"/>
          <w:szCs w:val="28"/>
          <w:rtl/>
        </w:rPr>
        <w:footnoteReference w:id="5"/>
      </w:r>
    </w:p>
    <w:p w14:paraId="3D9E7525" w14:textId="77777777" w:rsidR="003066B3" w:rsidRDefault="003066B3" w:rsidP="003066B3">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rPr>
        <w:t>به عبارت دیگر: همان‌گونه که در ادلّه‌ی عقلیه، فرض تعارض قابل تصور نیست، در سیره‌ی عقلاء نیز چنین است و نمی‌توان برای آنان دو سیره‌ی متعارض در نظر گرفت. بنابر این اگر مدّعا این باشد که بدون فحص از مخصّص، سیره‌ای بر عمل به عام وجود ندارد و سیره‌ی عقلاء بر عمل به عام، متوقّف بر فحص از مخصّص می</w:t>
      </w:r>
      <w:r>
        <w:rPr>
          <w:rFonts w:cs="2  Mitra" w:hint="cs"/>
          <w:color w:val="000000" w:themeColor="text1"/>
          <w:sz w:val="28"/>
          <w:szCs w:val="28"/>
          <w:rtl/>
        </w:rPr>
        <w:softHyphen/>
        <w:t>باشد ـ همان‌گونه که مرحوم آخوند ادعا کرده‌اند و ما نیز گفتیم حق در این مدّعا با ایشان است ـ نتیجه آن خواهد بود که بدون فحص از مخصص، عام از حجّیت و اعتبار برخوردار نخواهد بود</w:t>
      </w:r>
      <w:r>
        <w:rPr>
          <w:rFonts w:cs="2  Mitra" w:hint="cs"/>
          <w:color w:val="000000" w:themeColor="text1"/>
          <w:sz w:val="28"/>
          <w:szCs w:val="28"/>
          <w:rtl/>
          <w:lang w:bidi="fa-IR"/>
        </w:rPr>
        <w:t>.</w:t>
      </w:r>
    </w:p>
    <w:p w14:paraId="0300E024" w14:textId="77777777" w:rsidR="003066B3" w:rsidRDefault="003066B3" w:rsidP="003066B3">
      <w:pPr>
        <w:rPr>
          <w:rFonts w:cs="2  Mitra" w:hint="cs"/>
          <w:color w:val="000000" w:themeColor="text1"/>
          <w:sz w:val="28"/>
          <w:szCs w:val="28"/>
          <w:rtl/>
          <w:lang w:bidi="fa-IR"/>
        </w:rPr>
      </w:pPr>
      <w:r>
        <w:rPr>
          <w:rFonts w:cs="2  Mitra" w:hint="cs"/>
          <w:color w:val="000000" w:themeColor="text1"/>
          <w:sz w:val="28"/>
          <w:szCs w:val="28"/>
          <w:rtl/>
          <w:lang w:bidi="fa-IR"/>
        </w:rPr>
        <w:lastRenderedPageBreak/>
        <w:br w:type="page"/>
      </w:r>
    </w:p>
    <w:p w14:paraId="53A3746F" w14:textId="77777777" w:rsidR="003066B3" w:rsidRDefault="003066B3" w:rsidP="003066B3">
      <w:pPr>
        <w:widowControl w:val="0"/>
        <w:bidi/>
        <w:spacing w:before="240"/>
        <w:ind w:firstLine="284"/>
        <w:jc w:val="both"/>
        <w:rPr>
          <w:rFonts w:cs="2  Mitra" w:hint="cs"/>
          <w:color w:val="000000" w:themeColor="text1"/>
          <w:sz w:val="28"/>
          <w:szCs w:val="28"/>
          <w:rtl/>
        </w:rPr>
      </w:pPr>
    </w:p>
    <w:p w14:paraId="40B69860"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يفصّل الآخوند في مسألة لزوم الفحص عن المخصّص قبل العمل بالعام، فيقول: إذا كان العامّ في معرض التخصيص ـ كما هو الحال في العمومات الواردة في الكتاب والسنّة ـ فلا يجوز التمسّك بعمومه قبل الفحص. ووجه ذلك أنّه إن لم يحصل لنا القطع باستقرار سيرة العقلاء على عدم الأخذ بالعامّ قبل الفحص في هذه الموارد، فلا أقلّ من الشكّ في الأخذ به قبله، ولا سيّما مع دعوى الإجماع أو عدم الخلاف على عدم جواز الأخذ بالعامّ قبل الفحص عن الخاصّ، وهذا المقدار كافٍ لإثبات عدم الجواز.</w:t>
      </w:r>
    </w:p>
    <w:p w14:paraId="38006162"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وأمّا إذا لم يكن العامّ في معرض التخصيص ـ كما هو الغالب في العمومات الجارية في المحاورات العرفيّة ـ فلا إشكال في استقرار سيرة العقلاء على العمل به من دون فحص عن المخصّص.</w:t>
      </w:r>
      <w:r>
        <w:rPr>
          <w:rStyle w:val="FootnoteReference"/>
          <w:rFonts w:cs="Abz-2 (Badr)"/>
          <w:sz w:val="28"/>
          <w:szCs w:val="28"/>
          <w:rtl/>
        </w:rPr>
        <w:footnoteReference w:id="6"/>
      </w:r>
    </w:p>
    <w:p w14:paraId="01A4C386"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وقد قال السيّد الخميني في تبيين مراد صاحب الکفاية: إنّ الشارع المقدّس قد سلك في تشريع الأحكام مسلك العقلاء. فإنّ العمومات والمطلقات في المحاورات الشخصيّة تكون حجّة عند العقلاء من دون فحص عن المخصّص والمقيّد، ولا يعتنى باحتمال وجودهما على نحو الانفصال.</w:t>
      </w:r>
    </w:p>
    <w:p w14:paraId="28ED93C5" w14:textId="77777777" w:rsidR="003066B3" w:rsidRDefault="003066B3" w:rsidP="003066B3">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وأمّا في مقام وضع القوانين، فسيرة العقلاء جارية على تبيين العمومات والمطلقات بنحو مستقلّ ثمّ ذكر مخصّصاتها ومقيّداتها تدريجاً وفي مواضع أُخرى. ومن هنا كان الكتاب والسنّة أيضاً كذلك، حيث إنّ عموماتهما ومطلقاتهما تكون دائماً في معرض التخصيص والتقييد.</w:t>
      </w:r>
    </w:p>
    <w:p w14:paraId="3D4AA6DD"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ثمّ إنّ حجّيّة اللفظ متوقّفة على جريان أصل التطابق بين المراد الاستعمالي والمراد الجدّي، وهو أصل عقلائي، غير أنّه في مقام التقنين، لا توجد هناك سيرة عقلائيّة علی جريان هذا الأصل من دون الفحص عن المخصّص والمقيّد لما تقدّم بيانه.</w:t>
      </w:r>
    </w:p>
    <w:p w14:paraId="73F03766"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وبناءً على ذلك، لا تكون عمومات الأدلّة وإطلاقاتها حجّة ما لم يقع الفحص عن المخصّص.</w:t>
      </w:r>
    </w:p>
    <w:p w14:paraId="618A34BF"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فالفحص هنا يکون بحثاً عن متمّم الحجّة لا عن مزاحمها؛ لأنّ الفحص مقدّمة لجريان الأصل العقلائي، وبه تكتمل الحجّة.</w:t>
      </w:r>
      <w:r>
        <w:rPr>
          <w:rStyle w:val="FootnoteReference"/>
          <w:rFonts w:cs="Abz-2 (Badr)"/>
          <w:sz w:val="28"/>
          <w:szCs w:val="28"/>
          <w:rtl/>
        </w:rPr>
        <w:footnoteReference w:id="7"/>
      </w:r>
    </w:p>
    <w:p w14:paraId="0E16646C"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lastRenderedPageBreak/>
        <w:t>والحقّ في هذا الاستدلال مع الآخوند والسيّد الخميني، ولازمه ـ كما صرّح به السيّد الخميني ـ أنّه ما لم يقع الفحص عن المخصّص في الأخبار، فلا تكون العمومات الواردة فيها ذات حجّيّة واعتبار.</w:t>
      </w:r>
    </w:p>
    <w:p w14:paraId="0C173F55"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وبملاحظة ذلك يتّضح الإشكال الوارد على كلام الآخوند والشيخ الأعظم ـ المتقدّم في صدر المسألة ـ القائل بأنّ البحث عن لزوم الفحص عن المخصّص إنّما يكون بعد الفراغ عن حجّيّة العامّ واعتباره.</w:t>
      </w:r>
    </w:p>
    <w:p w14:paraId="72E546EA"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كما أنّ المحقّق الإصفهاني قد أشكل على كلام الآخوند ـ حيث فرّق بين لزوم الفحص عن المخصّص قبل العمل بالعامّ وبين لزوم الفحص عن الدليل قبل إجراء الأُصول العمليّة، وادّعی أنّ الفحص عن الخاصّ إنّما هو بحث عمّا يزاحم للحجّة لا عن الحجّة نفسها</w:t>
      </w:r>
      <w:r>
        <w:rPr>
          <w:rStyle w:val="FootnoteReference"/>
          <w:rFonts w:cs="Abz-2 (Badr)"/>
          <w:sz w:val="28"/>
          <w:szCs w:val="28"/>
          <w:rtl/>
        </w:rPr>
        <w:footnoteReference w:id="8"/>
      </w:r>
      <w:r>
        <w:rPr>
          <w:rFonts w:cs="Abz-2 (Badr)" w:hint="cs"/>
          <w:color w:val="000000" w:themeColor="text1"/>
          <w:sz w:val="28"/>
          <w:szCs w:val="28"/>
          <w:rtl/>
        </w:rPr>
        <w:t xml:space="preserve"> ـ فقال: إنّ التفريق المفترض بين الموردين مبنيّ على توهّم أنّ مقتضي الحجّيّة في باب العامّ تامّ في الجملة، وأنّ البحث إنّما هو عن وجود المانع أو المعارض له، في حين أنّه في باب الأُصول العمليّة لا تكون لتلك الأُصول قبل الفحص أيّ حجّيّة واعتبار.</w:t>
      </w:r>
    </w:p>
    <w:p w14:paraId="60DE7132" w14:textId="77777777" w:rsidR="003066B3" w:rsidRDefault="003066B3" w:rsidP="003066B3">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غير أنّ الإشكال في هذا المدّعى هو أنّ دليل اعتبار الظهور إنّما هو سيرة العقلاء، ومن الواضح أنّ العقلاء لا يمكن أن تكون لهم سيرتان: إحداهما على اعتبار ظهور العامّ، والأُخرى على اعتبار ظهور الخاصّ بحيث تتعارضان؛ بل سيرتهم إمّا أن تكون مطلقة على العمل بظهور العامّ، أو مشروطة بالفحص عن المعارض.</w:t>
      </w:r>
      <w:r>
        <w:rPr>
          <w:rStyle w:val="FootnoteReference"/>
          <w:rFonts w:cs="Abz-2 (Badr)"/>
          <w:sz w:val="28"/>
          <w:szCs w:val="28"/>
          <w:rtl/>
        </w:rPr>
        <w:footnoteReference w:id="9"/>
      </w:r>
    </w:p>
    <w:p w14:paraId="50A98479" w14:textId="77777777" w:rsidR="003066B3" w:rsidRDefault="003066B3" w:rsidP="003066B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وبعبارة أُخرى: كما أنّ فرض التعارض في الأدلّة العقليّة غير معقول، فكذلك الحال في سيرة العقلاء، ولا يمكن افتراض سيرتين متعارضتين لهم.</w:t>
      </w:r>
    </w:p>
    <w:p w14:paraId="124BF2B9" w14:textId="77777777" w:rsidR="003066B3" w:rsidRDefault="003066B3" w:rsidP="003066B3">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فلو كان المدّعى أنّه من دون الفحص عن المخصّص لا توجد سيرة لهم على العمل بالعامّ، وأنّ سيرتهم على العمل به متوقّفة على الفحص عن المخصّص ـ كما ادّعاه الآخوند وسلّمنا بتماميّة دعواه ـ لزم أن يكون العامّ من دون الفحص عن المخصّص فاقداً للحجّيّة والاعتبار.</w:t>
      </w:r>
    </w:p>
    <w:p w14:paraId="06AB51BE" w14:textId="77777777" w:rsidR="003066B3" w:rsidRDefault="003066B3" w:rsidP="003066B3">
      <w:pPr>
        <w:widowControl w:val="0"/>
        <w:bidi/>
        <w:spacing w:after="0"/>
        <w:ind w:firstLine="284"/>
        <w:jc w:val="both"/>
        <w:rPr>
          <w:rFonts w:cs="Abz-2 (Badr)"/>
          <w:color w:val="000000" w:themeColor="text1"/>
          <w:sz w:val="28"/>
          <w:szCs w:val="28"/>
        </w:rPr>
      </w:pPr>
    </w:p>
    <w:p w14:paraId="7D9979DE" w14:textId="26D41A3F" w:rsidR="001B24FC" w:rsidRPr="003066B3" w:rsidRDefault="001B24FC" w:rsidP="003066B3">
      <w:pPr>
        <w:rPr>
          <w:rtl/>
        </w:rPr>
      </w:pPr>
    </w:p>
    <w:sectPr w:rsidR="001B24FC" w:rsidRPr="003066B3"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695C8" w14:textId="77777777" w:rsidR="00434D74" w:rsidRDefault="00434D74" w:rsidP="00C336C5">
      <w:pPr>
        <w:spacing w:after="0" w:line="240" w:lineRule="auto"/>
      </w:pPr>
      <w:r>
        <w:separator/>
      </w:r>
    </w:p>
  </w:endnote>
  <w:endnote w:type="continuationSeparator" w:id="0">
    <w:p w14:paraId="7C4E0E20" w14:textId="77777777" w:rsidR="00434D74" w:rsidRDefault="00434D74" w:rsidP="00C336C5">
      <w:pPr>
        <w:spacing w:after="0" w:line="240" w:lineRule="auto"/>
      </w:pPr>
      <w:r>
        <w:continuationSeparator/>
      </w:r>
    </w:p>
  </w:endnote>
  <w:endnote w:type="continuationNotice" w:id="1">
    <w:p w14:paraId="40B4D024" w14:textId="77777777" w:rsidR="00434D74" w:rsidRDefault="00434D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46489" w14:textId="77777777" w:rsidR="00DC574C" w:rsidRDefault="00DC5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607E2" w14:textId="77777777" w:rsidR="00DC574C" w:rsidRDefault="00DC5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64E2F" w14:textId="77777777" w:rsidR="00434D74" w:rsidRDefault="00434D74" w:rsidP="00C336C5">
      <w:pPr>
        <w:bidi/>
        <w:spacing w:after="0" w:line="240" w:lineRule="auto"/>
      </w:pPr>
      <w:r>
        <w:separator/>
      </w:r>
    </w:p>
  </w:footnote>
  <w:footnote w:type="continuationSeparator" w:id="0">
    <w:p w14:paraId="32F5C806" w14:textId="77777777" w:rsidR="00434D74" w:rsidRDefault="00434D74" w:rsidP="00C336C5">
      <w:pPr>
        <w:spacing w:after="0" w:line="240" w:lineRule="auto"/>
      </w:pPr>
      <w:r>
        <w:continuationSeparator/>
      </w:r>
    </w:p>
  </w:footnote>
  <w:footnote w:type="continuationNotice" w:id="1">
    <w:p w14:paraId="2714D1AD" w14:textId="77777777" w:rsidR="00434D74" w:rsidRDefault="00434D74">
      <w:pPr>
        <w:spacing w:after="0" w:line="240" w:lineRule="auto"/>
      </w:pPr>
    </w:p>
  </w:footnote>
  <w:footnote w:id="2">
    <w:p w14:paraId="756B91C7" w14:textId="77777777" w:rsidR="003066B3" w:rsidRDefault="003066B3" w:rsidP="003066B3">
      <w:pPr>
        <w:pStyle w:val="FootnoteText"/>
        <w:bidi/>
        <w:jc w:val="left"/>
        <w:rPr>
          <w:rFonts w:cs="Abz-2 (Badr)"/>
          <w:lang w:bidi="fa-IR"/>
        </w:rPr>
      </w:pPr>
      <w:r>
        <w:rPr>
          <w:rStyle w:val="FootnoteReference"/>
          <w:rFonts w:cs="Abz-2 (Badr)"/>
        </w:rPr>
        <w:footnoteRef/>
      </w:r>
      <w:r>
        <w:rPr>
          <w:rFonts w:cs="Abz-2 (Badr)" w:hint="cs"/>
        </w:rPr>
        <w:t xml:space="preserve"> </w:t>
      </w:r>
      <w:r>
        <w:rPr>
          <w:rFonts w:cs="Abz-2 (Badr)" w:hint="cs"/>
          <w:rtl/>
        </w:rPr>
        <w:t xml:space="preserve">ـ راجع: </w:t>
      </w:r>
      <w:r>
        <w:rPr>
          <w:rFonts w:ascii="Cambria" w:hAnsi="Cambria" w:cs="Abz-2 (Badr)" w:hint="cs"/>
          <w:rtl/>
          <w:lang w:bidi="fa-IR"/>
        </w:rPr>
        <w:t>کفاية الأُصول،</w:t>
      </w:r>
      <w:r>
        <w:rPr>
          <w:rFonts w:cs="Abz-2 (Badr)" w:hint="cs"/>
          <w:rtl/>
        </w:rPr>
        <w:t>ص226 و 227.</w:t>
      </w:r>
    </w:p>
  </w:footnote>
  <w:footnote w:id="3">
    <w:p w14:paraId="3AC4827E" w14:textId="77777777" w:rsidR="003066B3" w:rsidRDefault="003066B3" w:rsidP="003066B3">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مناهج الوصول،ج2،</w:t>
      </w:r>
      <w:r>
        <w:rPr>
          <w:rFonts w:cs="Abz-2 (Badr)" w:hint="cs"/>
          <w:rtl/>
        </w:rPr>
        <w:t>ص275 و 276.</w:t>
      </w:r>
    </w:p>
  </w:footnote>
  <w:footnote w:id="4">
    <w:p w14:paraId="1FCEF7B6" w14:textId="77777777" w:rsidR="003066B3" w:rsidRDefault="003066B3" w:rsidP="003066B3">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کفاية الأُصول،</w:t>
      </w:r>
      <w:r>
        <w:rPr>
          <w:rFonts w:cs="Abz-2 (Badr)" w:hint="cs"/>
          <w:rtl/>
        </w:rPr>
        <w:t>ص227.</w:t>
      </w:r>
    </w:p>
  </w:footnote>
  <w:footnote w:id="5">
    <w:p w14:paraId="6201D616" w14:textId="77777777" w:rsidR="003066B3" w:rsidRDefault="003066B3" w:rsidP="003066B3">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نهاية الدراية،ج2،</w:t>
      </w:r>
      <w:r>
        <w:rPr>
          <w:rFonts w:cs="Abz-2 (Badr)" w:hint="cs"/>
          <w:rtl/>
        </w:rPr>
        <w:t>ص467 - 469.</w:t>
      </w:r>
    </w:p>
  </w:footnote>
  <w:footnote w:id="6">
    <w:p w14:paraId="7B7EE314" w14:textId="77777777" w:rsidR="003066B3" w:rsidRDefault="003066B3" w:rsidP="003066B3">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کفاية الأُصول،</w:t>
      </w:r>
      <w:r>
        <w:rPr>
          <w:rFonts w:cs="Abz-2 (Badr)" w:hint="cs"/>
          <w:rtl/>
        </w:rPr>
        <w:t>ص226 و 227.</w:t>
      </w:r>
    </w:p>
  </w:footnote>
  <w:footnote w:id="7">
    <w:p w14:paraId="4DDA7558" w14:textId="77777777" w:rsidR="003066B3" w:rsidRDefault="003066B3" w:rsidP="003066B3">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مناهج الوصول،ج2،</w:t>
      </w:r>
      <w:r>
        <w:rPr>
          <w:rFonts w:cs="Abz-2 (Badr)" w:hint="cs"/>
          <w:rtl/>
        </w:rPr>
        <w:t>ص275 و 276.</w:t>
      </w:r>
    </w:p>
  </w:footnote>
  <w:footnote w:id="8">
    <w:p w14:paraId="50D48D34" w14:textId="77777777" w:rsidR="003066B3" w:rsidRDefault="003066B3" w:rsidP="003066B3">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کفاية الأُصول،</w:t>
      </w:r>
      <w:r>
        <w:rPr>
          <w:rFonts w:cs="Abz-2 (Badr)" w:hint="cs"/>
          <w:rtl/>
        </w:rPr>
        <w:t>ص227.</w:t>
      </w:r>
    </w:p>
  </w:footnote>
  <w:footnote w:id="9">
    <w:p w14:paraId="0539F4BD" w14:textId="77777777" w:rsidR="003066B3" w:rsidRDefault="003066B3" w:rsidP="003066B3">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نهاية الدراية،ج2،</w:t>
      </w:r>
      <w:r>
        <w:rPr>
          <w:rFonts w:cs="Abz-2 (Badr)" w:hint="cs"/>
          <w:rtl/>
        </w:rPr>
        <w:t>ص467 - 469.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5793E" w14:textId="77777777" w:rsidR="00DC574C" w:rsidRDefault="00DC5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37029CC2"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3066B3">
                            <w:rPr>
                              <w:rFonts w:cs="B Mehr" w:hint="cs"/>
                              <w:rtl/>
                              <w:lang w:bidi="fa-IR"/>
                            </w:rPr>
                            <w:t>دو</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3066B3">
                            <w:rPr>
                              <w:rFonts w:cs="B Mehr" w:hint="cs"/>
                              <w:rtl/>
                              <w:lang w:bidi="fa-IR"/>
                            </w:rPr>
                            <w:t>13</w:t>
                          </w:r>
                          <w:r w:rsidR="0048609A">
                            <w:rPr>
                              <w:rFonts w:cs="B Mehr" w:hint="cs"/>
                              <w:rtl/>
                              <w:lang w:bidi="fa-IR"/>
                            </w:rPr>
                            <w:t xml:space="preserve">   </w:t>
                          </w:r>
                          <w:r w:rsidR="00792F47">
                            <w:rPr>
                              <w:rFonts w:cs="B Mehr" w:hint="cs"/>
                              <w:rtl/>
                              <w:lang w:bidi="fa-IR"/>
                            </w:rPr>
                            <w:t xml:space="preserve">بهمن </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37029CC2"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3066B3">
                      <w:rPr>
                        <w:rFonts w:cs="B Mehr" w:hint="cs"/>
                        <w:rtl/>
                        <w:lang w:bidi="fa-IR"/>
                      </w:rPr>
                      <w:t>دو</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3066B3">
                      <w:rPr>
                        <w:rFonts w:cs="B Mehr" w:hint="cs"/>
                        <w:rtl/>
                        <w:lang w:bidi="fa-IR"/>
                      </w:rPr>
                      <w:t>13</w:t>
                    </w:r>
                    <w:r w:rsidR="0048609A">
                      <w:rPr>
                        <w:rFonts w:cs="B Mehr" w:hint="cs"/>
                        <w:rtl/>
                        <w:lang w:bidi="fa-IR"/>
                      </w:rPr>
                      <w:t xml:space="preserve">   </w:t>
                    </w:r>
                    <w:r w:rsidR="00792F47">
                      <w:rPr>
                        <w:rFonts w:cs="B Mehr" w:hint="cs"/>
                        <w:rtl/>
                        <w:lang w:bidi="fa-IR"/>
                      </w:rPr>
                      <w:t xml:space="preserve">بهمن </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350C3" w14:textId="77777777" w:rsidR="00DC574C" w:rsidRDefault="00DC57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2EF"/>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1F"/>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4EB7"/>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6B3"/>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AD9"/>
    <w:rsid w:val="003E6FB9"/>
    <w:rsid w:val="003E7035"/>
    <w:rsid w:val="003E70C5"/>
    <w:rsid w:val="003F022A"/>
    <w:rsid w:val="003F103B"/>
    <w:rsid w:val="003F235C"/>
    <w:rsid w:val="003F23EE"/>
    <w:rsid w:val="003F2464"/>
    <w:rsid w:val="003F42C9"/>
    <w:rsid w:val="003F440F"/>
    <w:rsid w:val="003F4E57"/>
    <w:rsid w:val="003F4ED6"/>
    <w:rsid w:val="003F4F6C"/>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4D74"/>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279"/>
    <w:rsid w:val="004B0CD0"/>
    <w:rsid w:val="004B1D5B"/>
    <w:rsid w:val="004B20CA"/>
    <w:rsid w:val="004B2E67"/>
    <w:rsid w:val="004B3C1F"/>
    <w:rsid w:val="004B3E69"/>
    <w:rsid w:val="004B5396"/>
    <w:rsid w:val="004B5FA4"/>
    <w:rsid w:val="004B626D"/>
    <w:rsid w:val="004B7981"/>
    <w:rsid w:val="004C15B1"/>
    <w:rsid w:val="004C358E"/>
    <w:rsid w:val="004C3ED6"/>
    <w:rsid w:val="004C4A76"/>
    <w:rsid w:val="004C5E0C"/>
    <w:rsid w:val="004C64BB"/>
    <w:rsid w:val="004C69B2"/>
    <w:rsid w:val="004C75E6"/>
    <w:rsid w:val="004D07D0"/>
    <w:rsid w:val="004D0AFB"/>
    <w:rsid w:val="004D1F23"/>
    <w:rsid w:val="004D2107"/>
    <w:rsid w:val="004D4221"/>
    <w:rsid w:val="004D5471"/>
    <w:rsid w:val="004D5A54"/>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67B"/>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5E86"/>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2F47"/>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319"/>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0E4E"/>
    <w:rsid w:val="00931CA1"/>
    <w:rsid w:val="009326ED"/>
    <w:rsid w:val="009332F5"/>
    <w:rsid w:val="00934C50"/>
    <w:rsid w:val="0093521C"/>
    <w:rsid w:val="009353A8"/>
    <w:rsid w:val="00936647"/>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233F"/>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46AD"/>
    <w:rsid w:val="009D5552"/>
    <w:rsid w:val="009D56C8"/>
    <w:rsid w:val="009D6708"/>
    <w:rsid w:val="009E0535"/>
    <w:rsid w:val="009E182D"/>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403"/>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48C8"/>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3DD5"/>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27C69"/>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CF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6432"/>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74C"/>
    <w:rsid w:val="00DC5F3A"/>
    <w:rsid w:val="00DC6BA0"/>
    <w:rsid w:val="00DD065D"/>
    <w:rsid w:val="00DD0E40"/>
    <w:rsid w:val="00DD1ED0"/>
    <w:rsid w:val="00DD28C8"/>
    <w:rsid w:val="00DD346F"/>
    <w:rsid w:val="00DD5AF8"/>
    <w:rsid w:val="00DD5C8F"/>
    <w:rsid w:val="00DD7222"/>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5E"/>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186C"/>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0180"/>
    <w:rsid w:val="00FF1915"/>
    <w:rsid w:val="00FF2CF6"/>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34932097">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684130757">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38599999">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531384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60782511">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11420543">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04497488">
      <w:bodyDiv w:val="1"/>
      <w:marLeft w:val="0"/>
      <w:marRight w:val="0"/>
      <w:marTop w:val="0"/>
      <w:marBottom w:val="0"/>
      <w:divBdr>
        <w:top w:val="none" w:sz="0" w:space="0" w:color="auto"/>
        <w:left w:val="none" w:sz="0" w:space="0" w:color="auto"/>
        <w:bottom w:val="none" w:sz="0" w:space="0" w:color="auto"/>
        <w:right w:val="none" w:sz="0" w:space="0" w:color="auto"/>
      </w:divBdr>
    </w:div>
    <w:div w:id="1113938337">
      <w:bodyDiv w:val="1"/>
      <w:marLeft w:val="0"/>
      <w:marRight w:val="0"/>
      <w:marTop w:val="0"/>
      <w:marBottom w:val="0"/>
      <w:divBdr>
        <w:top w:val="none" w:sz="0" w:space="0" w:color="auto"/>
        <w:left w:val="none" w:sz="0" w:space="0" w:color="auto"/>
        <w:bottom w:val="none" w:sz="0" w:space="0" w:color="auto"/>
        <w:right w:val="none" w:sz="0" w:space="0" w:color="auto"/>
      </w:divBdr>
    </w:div>
    <w:div w:id="1120806029">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5711260">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62867848">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767340520">
      <w:bodyDiv w:val="1"/>
      <w:marLeft w:val="0"/>
      <w:marRight w:val="0"/>
      <w:marTop w:val="0"/>
      <w:marBottom w:val="0"/>
      <w:divBdr>
        <w:top w:val="none" w:sz="0" w:space="0" w:color="auto"/>
        <w:left w:val="none" w:sz="0" w:space="0" w:color="auto"/>
        <w:bottom w:val="none" w:sz="0" w:space="0" w:color="auto"/>
        <w:right w:val="none" w:sz="0" w:space="0" w:color="auto"/>
      </w:divBdr>
    </w:div>
    <w:div w:id="1783651142">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30770309">
      <w:bodyDiv w:val="1"/>
      <w:marLeft w:val="0"/>
      <w:marRight w:val="0"/>
      <w:marTop w:val="0"/>
      <w:marBottom w:val="0"/>
      <w:divBdr>
        <w:top w:val="none" w:sz="0" w:space="0" w:color="auto"/>
        <w:left w:val="none" w:sz="0" w:space="0" w:color="auto"/>
        <w:bottom w:val="none" w:sz="0" w:space="0" w:color="auto"/>
        <w:right w:val="none" w:sz="0" w:space="0" w:color="auto"/>
      </w:divBdr>
    </w:div>
    <w:div w:id="1948778636">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236486">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4117</TotalTime>
  <Pages>1</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1322</cp:revision>
  <cp:lastPrinted>2025-04-15T09:36:00Z</cp:lastPrinted>
  <dcterms:created xsi:type="dcterms:W3CDTF">2022-10-16T08:36:00Z</dcterms:created>
  <dcterms:modified xsi:type="dcterms:W3CDTF">2026-02-03T07:28:00Z</dcterms:modified>
</cp:coreProperties>
</file>