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B5662" w14:textId="77777777" w:rsidR="002E4EB7" w:rsidRDefault="002E4EB7" w:rsidP="002E4EB7">
      <w:pPr>
        <w:widowControl w:val="0"/>
        <w:bidi/>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B9DA426" w14:textId="77777777" w:rsidR="002E4EB7" w:rsidRDefault="002E4EB7" w:rsidP="002E4EB7">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49AF28A3" w14:textId="77777777" w:rsidR="002E4EB7" w:rsidRDefault="002E4EB7" w:rsidP="002E4EB7">
      <w:pPr>
        <w:widowControl w:val="0"/>
        <w:bidi/>
        <w:spacing w:after="240"/>
        <w:jc w:val="center"/>
        <w:rPr>
          <w:rFonts w:cs="B Mitra" w:hint="cs"/>
          <w:b/>
          <w:bCs/>
          <w:sz w:val="32"/>
          <w:szCs w:val="32"/>
          <w:rtl/>
          <w:lang w:bidi="fa-IR"/>
        </w:rPr>
      </w:pPr>
      <w:r>
        <w:rPr>
          <w:rFonts w:cs="B Mitra" w:hint="cs"/>
          <w:b/>
          <w:bCs/>
          <w:sz w:val="32"/>
          <w:szCs w:val="32"/>
          <w:rtl/>
          <w:lang w:bidi="fa-IR"/>
        </w:rPr>
        <w:t>جلسه 1010</w:t>
      </w:r>
    </w:p>
    <w:bookmarkEnd w:id="0"/>
    <w:p w14:paraId="5FB6BF18" w14:textId="77777777" w:rsidR="002E4EB7" w:rsidRDefault="002E4EB7" w:rsidP="002E4EB7">
      <w:pPr>
        <w:widowControl w:val="0"/>
        <w:bidi/>
        <w:spacing w:before="240" w:line="261" w:lineRule="auto"/>
        <w:ind w:firstLine="289"/>
        <w:jc w:val="both"/>
        <w:rPr>
          <w:rFonts w:cs="2  Mitra" w:hint="cs"/>
          <w:sz w:val="28"/>
          <w:szCs w:val="28"/>
          <w:rtl/>
        </w:rPr>
      </w:pPr>
    </w:p>
    <w:p w14:paraId="00CDD94F" w14:textId="77777777" w:rsidR="002E4EB7" w:rsidRDefault="002E4EB7" w:rsidP="002E4EB7">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rPr>
        <w:t>مرحوم شیخ خود برای عدم جواز اخذ به عام قبل از فحص از خاص، این گونه استدلال کرده</w:t>
      </w:r>
      <w:r>
        <w:rPr>
          <w:rFonts w:cs="2  Mitra" w:hint="cs"/>
          <w:color w:val="000000" w:themeColor="text1"/>
          <w:sz w:val="28"/>
          <w:szCs w:val="28"/>
          <w:rtl/>
        </w:rPr>
        <w:softHyphen/>
        <w:t>اند که احتمال تخصیص عام، گاهی ابتدایی بوده و مسبوق به علم اجمالی نیست، و گاهی از آن جهت است که عام، یکی از اطراف معلوم بالاجمال قرار گرفته است. بلکه ممکن است هر دو جهت در یک عام جمع شوند و روشن است که برطرف شدن احتمال از یک جهت، ملازم با ارتفاع آن از جهت دیگر نیست.</w:t>
      </w:r>
    </w:p>
    <w:p w14:paraId="74165A27" w14:textId="77777777" w:rsidR="002E4EB7" w:rsidRDefault="002E4EB7" w:rsidP="002E4EB7">
      <w:pPr>
        <w:widowControl w:val="0"/>
        <w:bidi/>
        <w:spacing w:before="240"/>
        <w:ind w:firstLine="284"/>
        <w:jc w:val="both"/>
        <w:rPr>
          <w:rFonts w:cs="2  Mitra"/>
          <w:color w:val="000000" w:themeColor="text1"/>
          <w:sz w:val="28"/>
          <w:szCs w:val="28"/>
          <w:lang w:bidi="fa-IR"/>
        </w:rPr>
      </w:pPr>
      <w:r>
        <w:rPr>
          <w:rFonts w:cs="2  Mitra" w:hint="cs"/>
          <w:color w:val="000000" w:themeColor="text1"/>
          <w:sz w:val="28"/>
          <w:szCs w:val="28"/>
          <w:rtl/>
        </w:rPr>
        <w:t>عموماتی که امروز در اخبار در دست ماست، احتمال تخصیصشان از دو جهت وجود دارد</w:t>
      </w:r>
      <w:r>
        <w:rPr>
          <w:rFonts w:cs="2  Mitra" w:hint="cs"/>
          <w:color w:val="000000" w:themeColor="text1"/>
          <w:sz w:val="28"/>
          <w:szCs w:val="28"/>
          <w:rtl/>
          <w:lang w:bidi="fa-IR"/>
        </w:rPr>
        <w:t>:</w:t>
      </w:r>
    </w:p>
    <w:p w14:paraId="188D7BB0" w14:textId="77777777" w:rsidR="002E4EB7" w:rsidRDefault="002E4EB7" w:rsidP="002E4EB7">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lang w:bidi="fa-IR"/>
        </w:rPr>
        <w:t xml:space="preserve">1 ـ </w:t>
      </w:r>
      <w:r>
        <w:rPr>
          <w:rFonts w:cs="2  Mitra" w:hint="cs"/>
          <w:color w:val="000000" w:themeColor="text1"/>
          <w:sz w:val="28"/>
          <w:szCs w:val="28"/>
          <w:rtl/>
        </w:rPr>
        <w:t>از جهت علم اجمالی به وجود مخصص برای آنها در اخباری که امروز به دست ما رسیده و نیز در ادله ظنیه دیگر بنابر قول به حجیت آنها.</w:t>
      </w:r>
    </w:p>
    <w:p w14:paraId="06CED526" w14:textId="77777777" w:rsidR="002E4EB7" w:rsidRDefault="002E4EB7" w:rsidP="002E4EB7">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lang w:bidi="fa-IR"/>
        </w:rPr>
        <w:t xml:space="preserve">2 ـ </w:t>
      </w:r>
      <w:r>
        <w:rPr>
          <w:rFonts w:cs="2  Mitra" w:hint="cs"/>
          <w:color w:val="000000" w:themeColor="text1"/>
          <w:sz w:val="28"/>
          <w:szCs w:val="28"/>
          <w:rtl/>
        </w:rPr>
        <w:t>از جهت احتمال ورود تخصیص بر آن‌ها در واقع، هرچند مخصص به دست ما نرسیده باشد</w:t>
      </w:r>
      <w:r>
        <w:rPr>
          <w:rFonts w:cs="2  Mitra" w:hint="cs"/>
          <w:color w:val="000000" w:themeColor="text1"/>
          <w:sz w:val="28"/>
          <w:szCs w:val="28"/>
          <w:rtl/>
          <w:lang w:bidi="fa-IR"/>
        </w:rPr>
        <w:t>.</w:t>
      </w:r>
    </w:p>
    <w:p w14:paraId="47D3CDD9" w14:textId="77777777" w:rsidR="002E4EB7" w:rsidRDefault="002E4EB7" w:rsidP="002E4EB7">
      <w:pPr>
        <w:widowControl w:val="0"/>
        <w:bidi/>
        <w:spacing w:before="240"/>
        <w:ind w:firstLine="284"/>
        <w:jc w:val="both"/>
        <w:rPr>
          <w:rFonts w:cs="2  Mitra"/>
          <w:color w:val="000000" w:themeColor="text1"/>
          <w:sz w:val="28"/>
          <w:szCs w:val="28"/>
        </w:rPr>
      </w:pPr>
      <w:r>
        <w:rPr>
          <w:rFonts w:cs="2  Mitra" w:hint="cs"/>
          <w:color w:val="000000" w:themeColor="text1"/>
          <w:sz w:val="28"/>
          <w:szCs w:val="28"/>
          <w:rtl/>
        </w:rPr>
        <w:t>احتمال دوم ـ یعنی احتمال ابتدایی ـ با اصل عدم تخصیص دفع می‌شود و معارضی ندارد. اما احتمال اول پس از فحص، واقعش کشف می‌گردد و معلوم می‌شود که این عام یا از عمومات مخصّصه است یا از غیر آن‌ها؛ زیرا مفروض این است که مخصصات آن‌ها قابل دسترسی است.</w:t>
      </w:r>
      <w:r>
        <w:rPr>
          <w:rStyle w:val="FootnoteReference"/>
          <w:rFonts w:cs="Abz-2 (Badr)"/>
          <w:sz w:val="28"/>
          <w:szCs w:val="28"/>
          <w:rtl/>
        </w:rPr>
        <w:footnoteReference w:id="2"/>
      </w:r>
    </w:p>
    <w:p w14:paraId="238CDCC5" w14:textId="77777777" w:rsidR="002E4EB7" w:rsidRDefault="002E4EB7" w:rsidP="002E4EB7">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 xml:space="preserve">اشکالی که بر بیان مذکور وارد است این است که در این مقام، در واقع دو علم اجمالی وجود دارد: یکی علم اجمالی صغیر که مربوط به وجود مخصّص برای برخی عمومات در میان اخبار واصله به دست ماست، و دیگری علم اجمالی کبیر که در مورد این است که اجمالاً می‌دانیم برای عمومات وارده، مخصّصاتی در اخبار وجود داشته است، اعم از این که آن اخبار به دست ما </w:t>
      </w:r>
      <w:r>
        <w:rPr>
          <w:rFonts w:cs="2  Mitra" w:hint="cs"/>
          <w:color w:val="000000" w:themeColor="text1"/>
          <w:sz w:val="28"/>
          <w:szCs w:val="28"/>
          <w:rtl/>
        </w:rPr>
        <w:lastRenderedPageBreak/>
        <w:t>رسیده باشد یا نرسیده باشد. و هرچند علم اجمالی صغیر پس از فحص از مخصّصات در میان اخبار واصله منحل می</w:t>
      </w:r>
      <w:r>
        <w:rPr>
          <w:rFonts w:cs="2  Mitra" w:hint="cs"/>
          <w:color w:val="000000" w:themeColor="text1"/>
          <w:sz w:val="28"/>
          <w:szCs w:val="28"/>
          <w:cs/>
          <w:lang w:bidi="fa-IR"/>
        </w:rPr>
        <w:t>‎</w:t>
      </w:r>
      <w:r>
        <w:rPr>
          <w:rFonts w:cs="2  Mitra" w:hint="cs"/>
          <w:color w:val="000000" w:themeColor="text1"/>
          <w:sz w:val="28"/>
          <w:szCs w:val="28"/>
          <w:rtl/>
        </w:rPr>
        <w:t>گردد، ولی این انحلال به علم اجمالی کبیر سرایت نمی‌کند. در نتیجه حتی بعد از فحص در میان اخبار واصله نیز عمل به عموم ادلّه ممکن نخواهد بود و باید احتیاط کرد.</w:t>
      </w:r>
    </w:p>
    <w:p w14:paraId="6DFE2A5C" w14:textId="77777777" w:rsidR="002E4EB7" w:rsidRDefault="002E4EB7" w:rsidP="002E4EB7">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در حقیقت، اشکال وارد بر کلام مرحوم شیخ در این مقام، همان است که خود ایشان در ردّ استدلال به حجیت خبر واحد بر اساس علم اجمالی به صدور بسیاری از اخبار موجود از ائمه(ع) مطرح کرده و ‌فرموده</w:t>
      </w:r>
      <w:r>
        <w:rPr>
          <w:rFonts w:cs="2  Mitra" w:hint="cs"/>
          <w:color w:val="000000" w:themeColor="text1"/>
          <w:sz w:val="28"/>
          <w:szCs w:val="28"/>
          <w:rtl/>
        </w:rPr>
        <w:softHyphen/>
        <w:t>اند: وجوب عمل به اخبار صادره از آن روست که این اخبار کاشف از احکام واقعی الهی هستند؛ در حالی‌که علم اجمالی ما تنها به اخبار موجود محدود نمی‌گردد، بلکه اجمالاً می‌دانیم احکام فراوانی از سوی ائمه(ع) صادر شده که بسیاری از آن‌ها به دست ما نرسیده است. بنابر این مقتضای حجیت این علم اجمالی، احتیاط خواهد بود.</w:t>
      </w:r>
    </w:p>
    <w:p w14:paraId="4AABFF7C" w14:textId="77777777" w:rsidR="002E4EB7" w:rsidRDefault="002E4EB7" w:rsidP="002E4EB7">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rPr>
        <w:t>سپس در پاسخ به این اشکال که آنچه برای ما معلوم است، صرفاً صدور بسیاری از اخبار موجود از معصومین(ع) است، اما صدور احکامی بیرون از محتوای همین اخبار برای ما معلوم نیست، تصریح می‌کنند: هرچند علم اجمالی نسبت به همین روایات موجود نیز تحقق دارد، اما علم اجمالی به آن‌ها منحصر نمی‌شود؛ زیرا اگر مجموع کل اخبار موجود را همراه با سایر اماراتی که مستقل از خبر بوده و مفید ظن به صدور حکم از امام(ع) هستند در نظر بگیریم، باز هم علم اجمالی به وجود احکام در این مجموعه حاصل خواهد بود.</w:t>
      </w:r>
    </w:p>
    <w:p w14:paraId="43751FD3" w14:textId="77777777" w:rsidR="002E4EB7" w:rsidRDefault="002E4EB7" w:rsidP="002E4EB7">
      <w:pPr>
        <w:widowControl w:val="0"/>
        <w:bidi/>
        <w:spacing w:before="240"/>
        <w:ind w:firstLine="284"/>
        <w:jc w:val="both"/>
        <w:rPr>
          <w:rFonts w:cs="2  Mitra"/>
          <w:color w:val="000000" w:themeColor="text1"/>
          <w:sz w:val="28"/>
          <w:szCs w:val="28"/>
        </w:rPr>
      </w:pPr>
      <w:r>
        <w:rPr>
          <w:rFonts w:cs="2  Mitra" w:hint="cs"/>
          <w:color w:val="000000" w:themeColor="text1"/>
          <w:sz w:val="28"/>
          <w:szCs w:val="28"/>
          <w:rtl/>
        </w:rPr>
        <w:t>از این رو در این مقام باید به وجود دو علم اجمالی ملتزم شد: یکی علم اجمالی نسبت به اخبار موجود، و دیگری علم اجمالی نسبت به مجموع اخبار و سایر امارات و وظیفه‌ی ما رعایت علم اجمالی دوم است و اکتفا به رعایت علم اجمالی اول کافی نخواهد بود.</w:t>
      </w:r>
      <w:r>
        <w:rPr>
          <w:rStyle w:val="FootnoteReference"/>
          <w:rFonts w:cs="Abz-2 (Badr)"/>
          <w:sz w:val="28"/>
          <w:szCs w:val="28"/>
          <w:rtl/>
        </w:rPr>
        <w:footnoteReference w:id="3"/>
      </w:r>
    </w:p>
    <w:p w14:paraId="7F52AB14" w14:textId="77777777" w:rsidR="002E4EB7" w:rsidRDefault="002E4EB7" w:rsidP="002E4EB7">
      <w:pPr>
        <w:widowControl w:val="0"/>
        <w:bidi/>
        <w:spacing w:before="240"/>
        <w:ind w:firstLine="284"/>
        <w:jc w:val="both"/>
        <w:rPr>
          <w:rFonts w:cs="2  Mitra"/>
          <w:color w:val="000000" w:themeColor="text1"/>
          <w:sz w:val="28"/>
          <w:szCs w:val="28"/>
          <w:lang w:bidi="fa-IR"/>
        </w:rPr>
      </w:pPr>
      <w:r>
        <w:rPr>
          <w:rFonts w:cs="2  Mitra" w:hint="cs"/>
          <w:color w:val="000000" w:themeColor="text1"/>
          <w:sz w:val="28"/>
          <w:szCs w:val="28"/>
          <w:rtl/>
          <w:lang w:bidi="fa-IR"/>
        </w:rPr>
        <w:t>مرحوم میرزای نائینی که به مانند مرحوم شیخ، لزوم فحص برای اخذ از خاص قبل از تمسک به عام را بر اساس علم اجمالی دانسته</w:t>
      </w:r>
      <w:r>
        <w:rPr>
          <w:rFonts w:cs="2  Mitra" w:hint="cs"/>
          <w:color w:val="000000" w:themeColor="text1"/>
          <w:sz w:val="28"/>
          <w:szCs w:val="28"/>
          <w:rtl/>
          <w:lang w:bidi="fa-IR"/>
        </w:rPr>
        <w:softHyphen/>
        <w:t>اند، در رد این اشکال می</w:t>
      </w:r>
      <w:r>
        <w:rPr>
          <w:rFonts w:cs="2  Mitra" w:hint="cs"/>
          <w:color w:val="000000" w:themeColor="text1"/>
          <w:sz w:val="28"/>
          <w:szCs w:val="28"/>
          <w:rtl/>
          <w:lang w:bidi="fa-IR"/>
        </w:rPr>
        <w:softHyphen/>
        <w:t xml:space="preserve">فرماید: </w:t>
      </w:r>
      <w:r>
        <w:rPr>
          <w:rFonts w:cs="2  Mitra" w:hint="cs"/>
          <w:color w:val="000000" w:themeColor="text1"/>
          <w:sz w:val="28"/>
          <w:szCs w:val="28"/>
          <w:rtl/>
        </w:rPr>
        <w:t xml:space="preserve">همان‌گونه که می‌دانیم واجبات و محرّمات فراوانی در شریعت وجود دارد، می‌دانیم که بخشی از این واجبات و محرّمات با حجّت معتبر در کتاب‌های روایی وارد شده است. مقدار معلو‌م به علم دوم از مقدار معلوم به علم اول کمتر نیست. پس حاصل آن، علم به وجود تکالیفی است که حجّت معتبر بر آن‌ها در همین کتاب‌ها قائم است. امّا آنچه مازاد بر این مقدار باشد، نسبت به آن نه علم تفصیلی داریم و نه علم اجمالی، بلکه شک ما درباره‌ی آن، </w:t>
      </w:r>
      <w:r>
        <w:rPr>
          <w:rFonts w:cs="2  Mitra" w:hint="cs"/>
          <w:color w:val="000000" w:themeColor="text1"/>
          <w:sz w:val="28"/>
          <w:szCs w:val="28"/>
          <w:rtl/>
        </w:rPr>
        <w:lastRenderedPageBreak/>
        <w:t>شک بدوی است</w:t>
      </w:r>
      <w:r>
        <w:rPr>
          <w:rFonts w:cs="2  Mitra" w:hint="cs"/>
          <w:color w:val="000000" w:themeColor="text1"/>
          <w:sz w:val="28"/>
          <w:szCs w:val="28"/>
          <w:rtl/>
          <w:lang w:bidi="fa-IR"/>
        </w:rPr>
        <w:t>.</w:t>
      </w:r>
      <w:r>
        <w:rPr>
          <w:rStyle w:val="FootnoteReference"/>
          <w:rFonts w:cs="Abz-2 (Badr)"/>
          <w:sz w:val="28"/>
          <w:szCs w:val="28"/>
          <w:rtl/>
        </w:rPr>
        <w:footnoteReference w:id="4"/>
      </w:r>
    </w:p>
    <w:p w14:paraId="217A1EC5" w14:textId="77777777" w:rsidR="002E4EB7" w:rsidRDefault="002E4EB7" w:rsidP="002E4EB7">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lang w:bidi="fa-IR"/>
        </w:rPr>
        <w:t xml:space="preserve">به بیان دیگر: </w:t>
      </w:r>
      <w:r>
        <w:rPr>
          <w:rFonts w:cs="2  Mitra" w:hint="cs"/>
          <w:color w:val="000000" w:themeColor="text1"/>
          <w:sz w:val="28"/>
          <w:szCs w:val="28"/>
          <w:rtl/>
        </w:rPr>
        <w:t>مدعای ایشان این است که علم اجمالی کبیر تنها زمانی بر حجیت خود باقی می‌ماند که بعد از انحلال علم اجمالی صغیر، همچنان نسبت به باقی‌مانده علم اجمالی وجود داشته باشد؛ در غیر این صورت، انحلال علم اجمالی صغیر منجر به انحلال علم اجمالی کبیر نیز خواهد شد</w:t>
      </w:r>
      <w:r>
        <w:rPr>
          <w:rFonts w:cs="2  Mitra" w:hint="cs"/>
          <w:color w:val="000000" w:themeColor="text1"/>
          <w:sz w:val="28"/>
          <w:szCs w:val="28"/>
          <w:rtl/>
          <w:lang w:bidi="fa-IR"/>
        </w:rPr>
        <w:t>.</w:t>
      </w:r>
    </w:p>
    <w:p w14:paraId="64FB32D2" w14:textId="77777777" w:rsidR="002E4EB7" w:rsidRDefault="002E4EB7" w:rsidP="002E4EB7">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rPr>
        <w:t>برای مثال اگر اجمالاً بدانیم که در میان یک گله گوسفند، تعدادی گوسفند حرام وجود دارد و همچنین بدانیم که در بخشی معلوم از آن گله، تعدادی گوسفند حرام هستند، علم اجمالی اول تنها در صورتی باقی خواهد ماند که پس از معین شدن گوسفندان حرام در آن بخش خاص، همچنان علم داشته باشیم که گوسفندان حرام دیگری در گله وجود دارند. در غیر این صورت، انحلال علم اجمالی دوم باعث انحلال علم اجمالی اول نیز می‌شود</w:t>
      </w:r>
      <w:r>
        <w:rPr>
          <w:rFonts w:cs="2  Mitra" w:hint="cs"/>
          <w:color w:val="000000" w:themeColor="text1"/>
          <w:sz w:val="28"/>
          <w:szCs w:val="28"/>
          <w:rtl/>
          <w:lang w:bidi="fa-IR"/>
        </w:rPr>
        <w:t>.</w:t>
      </w:r>
    </w:p>
    <w:p w14:paraId="13D99887" w14:textId="77777777" w:rsidR="002E4EB7" w:rsidRDefault="002E4EB7" w:rsidP="002E4EB7">
      <w:pPr>
        <w:widowControl w:val="0"/>
        <w:bidi/>
        <w:spacing w:before="240"/>
        <w:ind w:firstLine="284"/>
        <w:jc w:val="both"/>
        <w:rPr>
          <w:rFonts w:cs="2  Mitra" w:hint="cs"/>
          <w:color w:val="000000" w:themeColor="text1"/>
          <w:sz w:val="28"/>
          <w:szCs w:val="28"/>
          <w:rtl/>
          <w:lang w:bidi="fa-IR"/>
        </w:rPr>
      </w:pPr>
      <w:r>
        <w:rPr>
          <w:rFonts w:cs="2  Mitra" w:hint="cs"/>
          <w:color w:val="000000" w:themeColor="text1"/>
          <w:sz w:val="28"/>
          <w:szCs w:val="28"/>
          <w:rtl/>
        </w:rPr>
        <w:t>به همین ترتیب در ما نحن فیه نیز می‌توان گفت: علم اجمالی به وجود مخصص برای عمومات در میان مجموع اخبار صادره از معصومین(ع)، پس از دستیابی به مخصصاتی که در میان اخبار واصله به ما وجود دارد، منحل می</w:t>
      </w:r>
      <w:r>
        <w:rPr>
          <w:rFonts w:cs="2  Mitra" w:hint="cs"/>
          <w:color w:val="000000" w:themeColor="text1"/>
          <w:sz w:val="28"/>
          <w:szCs w:val="28"/>
          <w:rtl/>
        </w:rPr>
        <w:softHyphen/>
        <w:t>گردد و علم به وجود مخصص برای عمومات در میان اخبار باقی</w:t>
      </w:r>
      <w:r>
        <w:rPr>
          <w:rFonts w:cs="2  Mitra" w:hint="cs"/>
          <w:color w:val="000000" w:themeColor="text1"/>
          <w:sz w:val="28"/>
          <w:szCs w:val="28"/>
          <w:rtl/>
        </w:rPr>
        <w:softHyphen/>
        <w:t>مانده وجود ندارد</w:t>
      </w:r>
      <w:r>
        <w:rPr>
          <w:rFonts w:cs="2  Mitra" w:hint="cs"/>
          <w:color w:val="000000" w:themeColor="text1"/>
          <w:sz w:val="28"/>
          <w:szCs w:val="28"/>
          <w:rtl/>
          <w:lang w:bidi="fa-IR"/>
        </w:rPr>
        <w:t>.</w:t>
      </w:r>
    </w:p>
    <w:p w14:paraId="1DBD3EA6" w14:textId="77777777" w:rsidR="002E4EB7" w:rsidRDefault="002E4EB7" w:rsidP="002E4EB7">
      <w:pPr>
        <w:rPr>
          <w:rFonts w:cs="2  Mitra" w:hint="cs"/>
          <w:color w:val="000000" w:themeColor="text1"/>
          <w:sz w:val="28"/>
          <w:szCs w:val="28"/>
          <w:rtl/>
          <w:lang w:bidi="fa-IR"/>
        </w:rPr>
      </w:pPr>
      <w:r>
        <w:rPr>
          <w:rFonts w:cs="2  Mitra" w:hint="cs"/>
          <w:color w:val="000000" w:themeColor="text1"/>
          <w:sz w:val="28"/>
          <w:szCs w:val="28"/>
          <w:rtl/>
          <w:lang w:bidi="fa-IR"/>
        </w:rPr>
        <w:br w:type="page"/>
      </w:r>
    </w:p>
    <w:p w14:paraId="00192459" w14:textId="77777777" w:rsidR="002E4EB7" w:rsidRDefault="002E4EB7" w:rsidP="002E4EB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lastRenderedPageBreak/>
        <w:t>استدلّ الشيخ بنفسه على عدم جواز الأخذ بالعامّ قبل الفحص عن الخاصّ، بأنّ احتمال تخصيص العامّ يكون تارة ابتدائيّاً غير مسبوق بعلم إجمالي، وأُخرى ناشئاً من كون العامّ أحد أطراف المعلوم بالإجمال، بل قد تجتمع الجهتان في عامّ واحد، ومن الواضح أنّ ارتفاع الاحتمال من جهة لا يستلزم ارتفاعه من الجهة الأُخرى.</w:t>
      </w:r>
    </w:p>
    <w:p w14:paraId="5F942D17" w14:textId="77777777" w:rsidR="002E4EB7" w:rsidRDefault="002E4EB7" w:rsidP="002E4EB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فالعمومات التي بأيدينا اليوم في الأخبار، يحتمل تخصيصها من جهتين:</w:t>
      </w:r>
    </w:p>
    <w:p w14:paraId="5292C57D" w14:textId="77777777" w:rsidR="002E4EB7" w:rsidRDefault="002E4EB7" w:rsidP="002E4EB7">
      <w:pPr>
        <w:widowControl w:val="0"/>
        <w:bidi/>
        <w:spacing w:after="0"/>
        <w:ind w:firstLine="284"/>
        <w:jc w:val="both"/>
        <w:rPr>
          <w:rFonts w:cs="Abz-2 (Badr)"/>
          <w:color w:val="000000" w:themeColor="text1"/>
          <w:sz w:val="28"/>
          <w:szCs w:val="28"/>
        </w:rPr>
      </w:pPr>
      <w:r>
        <w:rPr>
          <w:rFonts w:cs="Abz-2 (Badr)" w:hint="cs"/>
          <w:color w:val="000000" w:themeColor="text1"/>
          <w:sz w:val="28"/>
          <w:szCs w:val="28"/>
          <w:rtl/>
          <w:lang w:bidi="fa-IR"/>
        </w:rPr>
        <w:t>الأُولی:</w:t>
      </w:r>
      <w:r>
        <w:rPr>
          <w:rFonts w:cs="Abz-2 (Badr)" w:hint="cs"/>
          <w:color w:val="000000" w:themeColor="text1"/>
          <w:sz w:val="28"/>
          <w:szCs w:val="28"/>
          <w:rtl/>
        </w:rPr>
        <w:t xml:space="preserve"> من جهة العلم الإجمالي بوجود مخصّص لها في الأخبار التي وصلت إلينا، وكذلك في سائر الأدلّة الظنّية بناءً على القول بحجّيّتها.</w:t>
      </w:r>
    </w:p>
    <w:p w14:paraId="63AF36BB" w14:textId="77777777" w:rsidR="002E4EB7" w:rsidRDefault="002E4EB7" w:rsidP="002E4EB7">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lang w:bidi="fa-IR"/>
        </w:rPr>
        <w:t>الثانية:</w:t>
      </w:r>
      <w:r>
        <w:rPr>
          <w:rFonts w:cs="Abz-2 (Badr)" w:hint="cs"/>
          <w:color w:val="000000" w:themeColor="text1"/>
          <w:sz w:val="28"/>
          <w:szCs w:val="28"/>
          <w:rtl/>
        </w:rPr>
        <w:t xml:space="preserve"> من جهة احتمال ورود تخصيص لها في الواقع وإن لم يصل المخصّص إلينا.</w:t>
      </w:r>
    </w:p>
    <w:p w14:paraId="53D39A78" w14:textId="77777777" w:rsidR="002E4EB7" w:rsidRDefault="002E4EB7" w:rsidP="002E4EB7">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فالاحتمال الثاني ـ أي الاحتمال الابتدائي ـ يدفع بأصل عدم التخصيص ولا معارض له.</w:t>
      </w:r>
    </w:p>
    <w:p w14:paraId="77D9D511" w14:textId="77777777" w:rsidR="002E4EB7" w:rsidRDefault="002E4EB7" w:rsidP="002E4EB7">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أمّا الاحتمال الأوّل فإنّ واقعه يكشف بعد الفحص، ويتبيّن أنّ هذا العامّ إمّا من العمومات المخصّصة أو من غيرها؛ لأنّ المفروض أنّ مخصّصاتها قابلة للوصول.</w:t>
      </w:r>
      <w:r>
        <w:rPr>
          <w:rStyle w:val="FootnoteReference"/>
          <w:rFonts w:cs="Abz-2 (Badr)"/>
          <w:sz w:val="28"/>
          <w:szCs w:val="28"/>
          <w:rtl/>
        </w:rPr>
        <w:footnoteReference w:id="5"/>
      </w:r>
    </w:p>
    <w:p w14:paraId="7ACFE775" w14:textId="77777777" w:rsidR="002E4EB7" w:rsidRDefault="002E4EB7" w:rsidP="002E4EB7">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غير أنّ الإشكال الوارد على هذا البيان هو أنّه يوجد في المقام علمان إجماليّان؛ أحدهما: العلم الإجمالي الصغير المتعلّق بوجود مخصّص لبعض العمومات في الأخبار الواصلة إلينا، والثاني: العلم الإجمالي الكبير الذي مفاده أنّنا نعلم إجمالاً بأنّ للعمومات الواردة مخصّصات في الأخبار، سواء وصلت إلينا تلك الأخبار أم لم تصل. وعلى الرغم من أنّ العلم الإجمالي الصغير ينحلّ بعد الفحص عن المخصّصات في الأخبار الواصلة، إلّا أنّ هذا الانحلال لا يسري إلى العلم الإجمالي الكبير. وبناءً على ذلك فحتّى بعد الفحص في الأخبار الواصلة لا يمكن العمل بعمومات الأدلّة، بل يجب الاحتياط.</w:t>
      </w:r>
    </w:p>
    <w:p w14:paraId="14EF5E21" w14:textId="77777777" w:rsidR="002E4EB7" w:rsidRDefault="002E4EB7" w:rsidP="002E4EB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فإنّ هذا الإشكال هو بعينه ما ذكره الشيخ نفسه في ردّ الاستدلال على حجّيّة خبر الواحد بالعلم الإجمالي بصدور كثير من الأخبار الموجودة عن الأئمّة(ع)، حيث قال: إنّ وجوب العمل بالأخبار الصادرة إنّما هو لكونها كاشفة عن الأحكام الواقعيّة الإلهيّة، في حين أنّ علمنا الإجمالي لا يقتصر على الأخبار الموجودة، بل نعلم إجمالاً أنّ أحكاماً كثيرة صدرت عن الأئمّة(ع) لم يصل إلينا كثير منها. وبناءً على ذلك فمقتضى حجّيّة هذا العلم الإجمالي هو الاحتياط.</w:t>
      </w:r>
    </w:p>
    <w:p w14:paraId="3DFADDBF" w14:textId="77777777" w:rsidR="002E4EB7" w:rsidRDefault="002E4EB7" w:rsidP="002E4EB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 xml:space="preserve">ثمّ في جواب الإشكال القائل بأنّ المعلوم لنا إنّما هو صدور كثير من الأخبار الموجودة عن المعصومين(ع)، أمّا صدور </w:t>
      </w:r>
      <w:r>
        <w:rPr>
          <w:rFonts w:cs="Abz-2 (Badr)" w:hint="cs"/>
          <w:color w:val="000000" w:themeColor="text1"/>
          <w:sz w:val="28"/>
          <w:szCs w:val="28"/>
          <w:rtl/>
        </w:rPr>
        <w:lastRenderedPageBreak/>
        <w:t>أحكام خارج مضمون هذه الأخبار فليس معلوماً لنا، صرّح بأنّه وإن كان العلم الإجمالي متحقّقاً بالنسبة إلى هذه الروايات الموجودة أيضاً، إلّا أنّه لا ينحصر بها؛ لأنّه إذا نظرنا إلى مجموع الأخبار الموجودة مع سائر الأمارات التي هي مستقلّة عن الخبر ومفيدة للظنّ بصدور الحكم عن الإمام(ع)، حصل لنا أيضاً علم إجمالي بوجود أحكام في هذا المجموع.</w:t>
      </w:r>
    </w:p>
    <w:p w14:paraId="5C19C658" w14:textId="77777777" w:rsidR="002E4EB7" w:rsidRDefault="002E4EB7" w:rsidP="002E4EB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ومن هنا يجب الالتزام بوجود علمين إجماليين في المقام، أحدهما: العلم الإجمالي بالنسبة إلى الأخبار الموجودة، والآخر: العلم الإجمالي بالنسبة إلى مجموع الأخبار وسائر الأمارات، ووظيفتنا هي مراعاة العلم الإجمالي الثاني، ولا يكفي الاقتصار على مراعاة العلم الإجمالي الأوّل.</w:t>
      </w:r>
      <w:r>
        <w:rPr>
          <w:rStyle w:val="FootnoteReference"/>
          <w:rFonts w:cs="Abz-2 (Badr)"/>
          <w:sz w:val="28"/>
          <w:szCs w:val="28"/>
          <w:rtl/>
        </w:rPr>
        <w:footnoteReference w:id="6"/>
      </w:r>
    </w:p>
    <w:p w14:paraId="63DB15A1" w14:textId="77777777" w:rsidR="002E4EB7" w:rsidRDefault="002E4EB7" w:rsidP="002E4EB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وأمّا الميرزا النائيني الذي ذهب ـ كالشيخ الأعظم ـ إلى لزوم الفحص عن الخاصّ قبل التمسّك بالعامّ على أساس العلم الإجمالي، فقد أجاب عن هذا الإشكال بقوله: كما أنّنا نعلم بوجود واجبات ومحرّمات كثيرة في الشريعة، نعلم أيضاً أنّ قسماً من هذه الواجبات والمحرّمات قد وردت بحجّة معتبرة في الكتب الروائيّة. والمقدار المعلوم بالعلم الثاني لا يقلّ عن المقدار المعلوم بالعلم الأوّل، فيكون الحاصل علماً بوجود تكاليف قامت عليها حجّة معتبرة في هذه الكتب نفسها. وأمّا ما زاد على هذا المقدار فلا علم تفصيلي لنا به ولا علم إجمالي، بل يكون الشكّ فيه شكّاً بدويّاً.</w:t>
      </w:r>
      <w:r>
        <w:rPr>
          <w:rStyle w:val="FootnoteReference"/>
          <w:rFonts w:cs="Abz-2 (Badr)"/>
          <w:sz w:val="28"/>
          <w:szCs w:val="28"/>
          <w:rtl/>
        </w:rPr>
        <w:footnoteReference w:id="7"/>
      </w:r>
    </w:p>
    <w:p w14:paraId="66D99E66" w14:textId="77777777" w:rsidR="002E4EB7" w:rsidRDefault="002E4EB7" w:rsidP="002E4EB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وبعبارة أخرى: إنّ مدّعاه أنّ العلم الإجمالي الكبير لا يبقى على حجّيّته إلّا إذا بقي بعد انحلال العلم الإجمالي الصغير علم إجمالي بالنسبة إلى الباقي، وإلّا فإنّ انحلال العلم الإجمالي الصغير يؤدّي إلى انحلال العلم الإجمالي الكبير أيضاً.</w:t>
      </w:r>
    </w:p>
    <w:p w14:paraId="459E91E3" w14:textId="77777777" w:rsidR="002E4EB7" w:rsidRDefault="002E4EB7" w:rsidP="002E4EB7">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فمثلاً إذا علمنا إجمالاً أنّ في قطيع من الغنم عدداً من الغنم المحرّمة وعلمنا أيضاً أنّ في قسم معيّن من ذلك القطيع عدداً من الغنم المحرّمة، فإنّ العلم الإجمالي الأوّل لا يبقى إلّا إذا بقي بعد تعيين الغنم المحرّمة في ذلك القسم الخاصّ علم بوجود غنم محرّمة أُخرى في القطيع، وإلّا فإنّ انحلال العلم الإجمالي الثاني يؤدّي إلى انحلال العلم الإجمالي الأوّل أيضاً.</w:t>
      </w:r>
    </w:p>
    <w:p w14:paraId="6F4F7B57" w14:textId="77777777" w:rsidR="002E4EB7" w:rsidRDefault="002E4EB7" w:rsidP="002E4EB7">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وكذلك في المقام يمكن القول بأنّ العلم الإجمالي بوجود مخصّص للعمومات في مجموع الأخبار الصادرة عن المعصومين(ع)، ينحلّ بعد الوصول إلى المخصّصات الموجودة في الأخبار الواصلة إلينا، ولا يبقى علم بوجود مخصّص للعمومات في الأخبار الباقية.</w:t>
      </w:r>
    </w:p>
    <w:p w14:paraId="573BBC8E" w14:textId="77777777" w:rsidR="002E4EB7" w:rsidRDefault="002E4EB7" w:rsidP="002E4EB7">
      <w:pPr>
        <w:widowControl w:val="0"/>
        <w:bidi/>
        <w:spacing w:after="0"/>
        <w:ind w:firstLine="284"/>
        <w:jc w:val="both"/>
        <w:rPr>
          <w:rFonts w:cs="Abz-2 (Badr)"/>
          <w:color w:val="000000" w:themeColor="text1"/>
          <w:sz w:val="28"/>
          <w:szCs w:val="28"/>
          <w:lang w:bidi="fa-IR"/>
        </w:rPr>
      </w:pPr>
    </w:p>
    <w:p w14:paraId="7D9979DE" w14:textId="26D41A3F" w:rsidR="001B24FC" w:rsidRPr="002E4EB7" w:rsidRDefault="001B24FC" w:rsidP="002E4EB7">
      <w:pPr>
        <w:rPr>
          <w:rtl/>
        </w:rPr>
      </w:pPr>
    </w:p>
    <w:sectPr w:rsidR="001B24FC" w:rsidRPr="002E4EB7"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ACAA7" w14:textId="77777777" w:rsidR="00CC3DD5" w:rsidRDefault="00CC3DD5" w:rsidP="00C336C5">
      <w:pPr>
        <w:spacing w:after="0" w:line="240" w:lineRule="auto"/>
      </w:pPr>
      <w:r>
        <w:separator/>
      </w:r>
    </w:p>
  </w:endnote>
  <w:endnote w:type="continuationSeparator" w:id="0">
    <w:p w14:paraId="5D6BBCF5" w14:textId="77777777" w:rsidR="00CC3DD5" w:rsidRDefault="00CC3DD5" w:rsidP="00C336C5">
      <w:pPr>
        <w:spacing w:after="0" w:line="240" w:lineRule="auto"/>
      </w:pPr>
      <w:r>
        <w:continuationSeparator/>
      </w:r>
    </w:p>
  </w:endnote>
  <w:endnote w:type="continuationNotice" w:id="1">
    <w:p w14:paraId="7E502361" w14:textId="77777777" w:rsidR="00CC3DD5" w:rsidRDefault="00CC3D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BBF6F" w14:textId="77777777" w:rsidR="00853A01" w:rsidRDefault="00853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A0AFF" w14:textId="77777777" w:rsidR="00853A01" w:rsidRDefault="0085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C699F" w14:textId="77777777" w:rsidR="00CC3DD5" w:rsidRDefault="00CC3DD5" w:rsidP="00C336C5">
      <w:pPr>
        <w:bidi/>
        <w:spacing w:after="0" w:line="240" w:lineRule="auto"/>
      </w:pPr>
      <w:r>
        <w:separator/>
      </w:r>
    </w:p>
  </w:footnote>
  <w:footnote w:type="continuationSeparator" w:id="0">
    <w:p w14:paraId="6F9787BA" w14:textId="77777777" w:rsidR="00CC3DD5" w:rsidRDefault="00CC3DD5" w:rsidP="00C336C5">
      <w:pPr>
        <w:spacing w:after="0" w:line="240" w:lineRule="auto"/>
      </w:pPr>
      <w:r>
        <w:continuationSeparator/>
      </w:r>
    </w:p>
  </w:footnote>
  <w:footnote w:type="continuationNotice" w:id="1">
    <w:p w14:paraId="3C82C521" w14:textId="77777777" w:rsidR="00CC3DD5" w:rsidRDefault="00CC3DD5">
      <w:pPr>
        <w:spacing w:after="0" w:line="240" w:lineRule="auto"/>
      </w:pPr>
    </w:p>
  </w:footnote>
  <w:footnote w:id="2">
    <w:p w14:paraId="29BD687B" w14:textId="77777777" w:rsidR="002E4EB7" w:rsidRDefault="002E4EB7" w:rsidP="002E4EB7">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راجع: </w:t>
      </w:r>
      <w:r>
        <w:rPr>
          <w:rFonts w:ascii="Cambria" w:hAnsi="Cambria" w:cs="Abz-2 (Badr)" w:hint="cs"/>
          <w:rtl/>
          <w:lang w:bidi="fa-IR"/>
        </w:rPr>
        <w:t>مطارح الأنظار</w:t>
      </w:r>
      <w:r>
        <w:rPr>
          <w:rFonts w:cs="Abz-2 (Badr)" w:hint="cs"/>
          <w:rtl/>
        </w:rPr>
        <w:t>،ج2،ص168 و 169.</w:t>
      </w:r>
    </w:p>
  </w:footnote>
  <w:footnote w:id="3">
    <w:p w14:paraId="625E08CE" w14:textId="77777777" w:rsidR="002E4EB7" w:rsidRDefault="002E4EB7" w:rsidP="002E4EB7">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فرائد الأُصول</w:t>
      </w:r>
      <w:r>
        <w:rPr>
          <w:rFonts w:cs="Abz-2 (Badr)" w:hint="cs"/>
          <w:rtl/>
        </w:rPr>
        <w:t>،ج1،ص357 و 358.</w:t>
      </w:r>
    </w:p>
  </w:footnote>
  <w:footnote w:id="4">
    <w:p w14:paraId="4C84A3AC" w14:textId="77777777" w:rsidR="002E4EB7" w:rsidRDefault="002E4EB7" w:rsidP="002E4EB7">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أجود التقريرات</w:t>
      </w:r>
      <w:r>
        <w:rPr>
          <w:rFonts w:cs="Abz-2 (Badr)" w:hint="cs"/>
          <w:rtl/>
        </w:rPr>
        <w:t>،ج1،ص482.</w:t>
      </w:r>
    </w:p>
  </w:footnote>
  <w:footnote w:id="5">
    <w:p w14:paraId="1787D959" w14:textId="77777777" w:rsidR="002E4EB7" w:rsidRDefault="002E4EB7" w:rsidP="002E4EB7">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مطارح الأنظار</w:t>
      </w:r>
      <w:r>
        <w:rPr>
          <w:rFonts w:cs="Abz-2 (Badr)" w:hint="cs"/>
          <w:rtl/>
        </w:rPr>
        <w:t>،ج2،ص168 و 169.</w:t>
      </w:r>
    </w:p>
  </w:footnote>
  <w:footnote w:id="6">
    <w:p w14:paraId="51A9F955" w14:textId="77777777" w:rsidR="002E4EB7" w:rsidRDefault="002E4EB7" w:rsidP="002E4EB7">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فرائد الأُصول</w:t>
      </w:r>
      <w:r>
        <w:rPr>
          <w:rFonts w:cs="Abz-2 (Badr)" w:hint="cs"/>
          <w:rtl/>
        </w:rPr>
        <w:t>،ج1،ص357 و 358.</w:t>
      </w:r>
    </w:p>
  </w:footnote>
  <w:footnote w:id="7">
    <w:p w14:paraId="00CF0F18" w14:textId="77777777" w:rsidR="002E4EB7" w:rsidRDefault="002E4EB7" w:rsidP="002E4EB7">
      <w:pPr>
        <w:pStyle w:val="FootnoteText"/>
        <w:bidi/>
        <w:jc w:val="left"/>
        <w:rPr>
          <w:rFonts w:cs="Abz-2 (Badr)" w:hint="cs"/>
          <w:rtl/>
          <w:lang w:bidi="fa-IR"/>
        </w:rPr>
      </w:pPr>
      <w:r>
        <w:rPr>
          <w:rStyle w:val="FootnoteReference"/>
          <w:rFonts w:cs="Abz-2 (Badr)"/>
        </w:rPr>
        <w:footnoteRef/>
      </w:r>
      <w:r>
        <w:rPr>
          <w:rFonts w:cs="Abz-2 (Badr)" w:hint="cs"/>
        </w:rPr>
        <w:t xml:space="preserve"> </w:t>
      </w:r>
      <w:r>
        <w:rPr>
          <w:rFonts w:cs="Abz-2 (Badr)" w:hint="cs"/>
          <w:rtl/>
        </w:rPr>
        <w:t xml:space="preserve">ـ </w:t>
      </w:r>
      <w:r>
        <w:rPr>
          <w:rFonts w:cs="Abz-2 (Badr)" w:hint="cs"/>
          <w:rtl/>
        </w:rPr>
        <w:t xml:space="preserve">راجع: </w:t>
      </w:r>
      <w:r>
        <w:rPr>
          <w:rFonts w:ascii="Cambria" w:hAnsi="Cambria" w:cs="Abz-2 (Badr)" w:hint="cs"/>
          <w:rtl/>
          <w:lang w:bidi="fa-IR"/>
        </w:rPr>
        <w:t>أجود التقريرات</w:t>
      </w:r>
      <w:r>
        <w:rPr>
          <w:rFonts w:cs="Abz-2 (Badr)" w:hint="cs"/>
          <w:rtl/>
        </w:rPr>
        <w:t>،ج1،ص482.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CB48B" w14:textId="77777777" w:rsidR="00853A01" w:rsidRDefault="0085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124C453E"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0F451F">
                            <w:rPr>
                              <w:rFonts w:cs="B Mehr" w:hint="cs"/>
                              <w:rtl/>
                              <w:lang w:bidi="fa-IR"/>
                            </w:rPr>
                            <w:t xml:space="preserve"> </w:t>
                          </w:r>
                          <w:r w:rsidR="002E4EB7">
                            <w:rPr>
                              <w:rFonts w:cs="B Mehr" w:hint="cs"/>
                              <w:rtl/>
                              <w:lang w:bidi="fa-IR"/>
                            </w:rPr>
                            <w:t>دو</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2E4EB7">
                            <w:rPr>
                              <w:rFonts w:cs="B Mehr" w:hint="cs"/>
                              <w:rtl/>
                              <w:lang w:bidi="fa-IR"/>
                            </w:rPr>
                            <w:t>7</w:t>
                          </w:r>
                          <w:r w:rsidR="0048609A">
                            <w:rPr>
                              <w:rFonts w:cs="B Mehr" w:hint="cs"/>
                              <w:rtl/>
                              <w:lang w:bidi="fa-IR"/>
                            </w:rPr>
                            <w:t xml:space="preserve">   </w:t>
                          </w:r>
                          <w:r w:rsidR="00792F47">
                            <w:rPr>
                              <w:rFonts w:cs="B Mehr" w:hint="cs"/>
                              <w:rtl/>
                              <w:lang w:bidi="fa-IR"/>
                            </w:rPr>
                            <w:t xml:space="preserve">بهمن </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124C453E"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0F451F">
                      <w:rPr>
                        <w:rFonts w:cs="B Mehr" w:hint="cs"/>
                        <w:rtl/>
                        <w:lang w:bidi="fa-IR"/>
                      </w:rPr>
                      <w:t xml:space="preserve"> </w:t>
                    </w:r>
                    <w:r w:rsidR="002E4EB7">
                      <w:rPr>
                        <w:rFonts w:cs="B Mehr" w:hint="cs"/>
                        <w:rtl/>
                        <w:lang w:bidi="fa-IR"/>
                      </w:rPr>
                      <w:t>دو</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2E4EB7">
                      <w:rPr>
                        <w:rFonts w:cs="B Mehr" w:hint="cs"/>
                        <w:rtl/>
                        <w:lang w:bidi="fa-IR"/>
                      </w:rPr>
                      <w:t>7</w:t>
                    </w:r>
                    <w:r w:rsidR="0048609A">
                      <w:rPr>
                        <w:rFonts w:cs="B Mehr" w:hint="cs"/>
                        <w:rtl/>
                        <w:lang w:bidi="fa-IR"/>
                      </w:rPr>
                      <w:t xml:space="preserve">   </w:t>
                    </w:r>
                    <w:r w:rsidR="00792F47">
                      <w:rPr>
                        <w:rFonts w:cs="B Mehr" w:hint="cs"/>
                        <w:rtl/>
                        <w:lang w:bidi="fa-IR"/>
                      </w:rPr>
                      <w:t xml:space="preserve">بهمن </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48677" w14:textId="77777777" w:rsidR="00853A01" w:rsidRDefault="00853A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2EF"/>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1F"/>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4EB7"/>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835"/>
    <w:rsid w:val="00307194"/>
    <w:rsid w:val="00314007"/>
    <w:rsid w:val="003154EA"/>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AD9"/>
    <w:rsid w:val="003E6FB9"/>
    <w:rsid w:val="003E7035"/>
    <w:rsid w:val="003E70C5"/>
    <w:rsid w:val="003F022A"/>
    <w:rsid w:val="003F103B"/>
    <w:rsid w:val="003F235C"/>
    <w:rsid w:val="003F23EE"/>
    <w:rsid w:val="003F2464"/>
    <w:rsid w:val="003F42C9"/>
    <w:rsid w:val="003F440F"/>
    <w:rsid w:val="003F4E57"/>
    <w:rsid w:val="003F4ED6"/>
    <w:rsid w:val="003F4F6C"/>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09A"/>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279"/>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4BB"/>
    <w:rsid w:val="004C69B2"/>
    <w:rsid w:val="004C75E6"/>
    <w:rsid w:val="004D07D0"/>
    <w:rsid w:val="004D0AFB"/>
    <w:rsid w:val="004D1F23"/>
    <w:rsid w:val="004D2107"/>
    <w:rsid w:val="004D4221"/>
    <w:rsid w:val="004D5471"/>
    <w:rsid w:val="004D5A54"/>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67B"/>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5E86"/>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2F47"/>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3A01"/>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319"/>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233F"/>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1E7"/>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46AD"/>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403"/>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3DD5"/>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27C69"/>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CF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6432"/>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D7222"/>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5E"/>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0180"/>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34932097">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38599999">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60782511">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11420543">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04497488">
      <w:bodyDiv w:val="1"/>
      <w:marLeft w:val="0"/>
      <w:marRight w:val="0"/>
      <w:marTop w:val="0"/>
      <w:marBottom w:val="0"/>
      <w:divBdr>
        <w:top w:val="none" w:sz="0" w:space="0" w:color="auto"/>
        <w:left w:val="none" w:sz="0" w:space="0" w:color="auto"/>
        <w:bottom w:val="none" w:sz="0" w:space="0" w:color="auto"/>
        <w:right w:val="none" w:sz="0" w:space="0" w:color="auto"/>
      </w:divBdr>
    </w:div>
    <w:div w:id="1113938337">
      <w:bodyDiv w:val="1"/>
      <w:marLeft w:val="0"/>
      <w:marRight w:val="0"/>
      <w:marTop w:val="0"/>
      <w:marBottom w:val="0"/>
      <w:divBdr>
        <w:top w:val="none" w:sz="0" w:space="0" w:color="auto"/>
        <w:left w:val="none" w:sz="0" w:space="0" w:color="auto"/>
        <w:bottom w:val="none" w:sz="0" w:space="0" w:color="auto"/>
        <w:right w:val="none" w:sz="0" w:space="0" w:color="auto"/>
      </w:divBdr>
    </w:div>
    <w:div w:id="1120806029">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192843103">
      <w:bodyDiv w:val="1"/>
      <w:marLeft w:val="0"/>
      <w:marRight w:val="0"/>
      <w:marTop w:val="0"/>
      <w:marBottom w:val="0"/>
      <w:divBdr>
        <w:top w:val="none" w:sz="0" w:space="0" w:color="auto"/>
        <w:left w:val="none" w:sz="0" w:space="0" w:color="auto"/>
        <w:bottom w:val="none" w:sz="0" w:space="0" w:color="auto"/>
        <w:right w:val="none" w:sz="0" w:space="0" w:color="auto"/>
      </w:divBdr>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5711260">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783651142">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30770309">
      <w:bodyDiv w:val="1"/>
      <w:marLeft w:val="0"/>
      <w:marRight w:val="0"/>
      <w:marTop w:val="0"/>
      <w:marBottom w:val="0"/>
      <w:divBdr>
        <w:top w:val="none" w:sz="0" w:space="0" w:color="auto"/>
        <w:left w:val="none" w:sz="0" w:space="0" w:color="auto"/>
        <w:bottom w:val="none" w:sz="0" w:space="0" w:color="auto"/>
        <w:right w:val="none" w:sz="0" w:space="0" w:color="auto"/>
      </w:divBdr>
    </w:div>
    <w:div w:id="1948778636">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058970689">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4116</TotalTime>
  <Pages>1</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1312</cp:revision>
  <cp:lastPrinted>2025-04-15T09:36:00Z</cp:lastPrinted>
  <dcterms:created xsi:type="dcterms:W3CDTF">2022-10-16T08:36:00Z</dcterms:created>
  <dcterms:modified xsi:type="dcterms:W3CDTF">2026-01-29T17:49:00Z</dcterms:modified>
</cp:coreProperties>
</file>