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21A77E" w14:textId="77777777" w:rsidR="000F451F" w:rsidRDefault="000F451F" w:rsidP="000F451F">
      <w:pPr>
        <w:widowControl w:val="0"/>
        <w:bidi/>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142374A1" w14:textId="77777777" w:rsidR="000F451F" w:rsidRDefault="000F451F" w:rsidP="000F451F">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2F3DEE86" w14:textId="77777777" w:rsidR="000F451F" w:rsidRDefault="000F451F" w:rsidP="000F451F">
      <w:pPr>
        <w:widowControl w:val="0"/>
        <w:bidi/>
        <w:spacing w:after="240"/>
        <w:jc w:val="center"/>
        <w:rPr>
          <w:rFonts w:cs="B Mitra" w:hint="cs"/>
          <w:b/>
          <w:bCs/>
          <w:sz w:val="32"/>
          <w:szCs w:val="32"/>
          <w:rtl/>
          <w:lang w:bidi="fa-IR"/>
        </w:rPr>
      </w:pPr>
      <w:r>
        <w:rPr>
          <w:rFonts w:cs="B Mitra" w:hint="cs"/>
          <w:b/>
          <w:bCs/>
          <w:sz w:val="32"/>
          <w:szCs w:val="32"/>
          <w:rtl/>
          <w:lang w:bidi="fa-IR"/>
        </w:rPr>
        <w:t>جلسه 996</w:t>
      </w:r>
    </w:p>
    <w:bookmarkEnd w:id="0"/>
    <w:p w14:paraId="75F460B2" w14:textId="77777777" w:rsidR="000F451F" w:rsidRDefault="000F451F" w:rsidP="000F451F">
      <w:pPr>
        <w:widowControl w:val="0"/>
        <w:bidi/>
        <w:spacing w:before="240" w:line="261" w:lineRule="auto"/>
        <w:ind w:firstLine="289"/>
        <w:jc w:val="both"/>
        <w:rPr>
          <w:rFonts w:cs="2  Mitra" w:hint="cs"/>
          <w:sz w:val="28"/>
          <w:szCs w:val="28"/>
          <w:rtl/>
        </w:rPr>
      </w:pPr>
    </w:p>
    <w:p w14:paraId="3B2E7A96" w14:textId="77777777" w:rsidR="000F451F" w:rsidRDefault="000F451F" w:rsidP="000F451F">
      <w:pPr>
        <w:widowControl w:val="0"/>
        <w:bidi/>
        <w:spacing w:before="240" w:line="249" w:lineRule="auto"/>
        <w:ind w:firstLine="284"/>
        <w:jc w:val="both"/>
        <w:rPr>
          <w:rFonts w:cs="2  Mitra" w:hint="cs"/>
          <w:color w:val="000000" w:themeColor="text1"/>
          <w:sz w:val="28"/>
          <w:szCs w:val="28"/>
          <w:rtl/>
        </w:rPr>
      </w:pPr>
      <w:r>
        <w:rPr>
          <w:rFonts w:cs="2  Mitra" w:hint="cs"/>
          <w:color w:val="000000" w:themeColor="text1"/>
          <w:sz w:val="28"/>
          <w:szCs w:val="28"/>
          <w:rtl/>
        </w:rPr>
        <w:t>اشکالاتی که بر مدعای مرحوم آخوند در خصوص فرق بين مخصص لبی و لفظی وارد است اين است که اولاً: فرق گذاشتن بین مخصص لبی و لفظی به اين که در مخصص لفظی دو حجت وجود دارد اما در مخصص لبی فقط يک حجت وجود دارد، مدعای عجيبی است، چون فرض مسأله بعد از تماميت حجيت مخصص لبی است. بنابر اين آنچه که ايشان به عنوان مثال و در تأييد مدعای خود مطرح ساخته</w:t>
      </w:r>
      <w:r>
        <w:rPr>
          <w:rFonts w:cs="2  Mitra" w:hint="cs"/>
          <w:color w:val="000000" w:themeColor="text1"/>
          <w:sz w:val="28"/>
          <w:szCs w:val="28"/>
          <w:rtl/>
        </w:rPr>
        <w:softHyphen/>
        <w:t>اند بر اين فرض استوار است که بر مکلف عدم وجوب يا حرمت اکرام دشمنان مولا از ميان همسايگان قطعی نباشد که در اين صورت حتی در فرضی که دشمنی فردی از آنان برای وی معلوم باشد نيز حق امتناع از اکرام او را نخواهد داشت.</w:t>
      </w:r>
    </w:p>
    <w:p w14:paraId="012191F4" w14:textId="77777777" w:rsidR="000F451F" w:rsidRDefault="000F451F" w:rsidP="000F451F">
      <w:pPr>
        <w:widowControl w:val="0"/>
        <w:bidi/>
        <w:spacing w:before="240" w:line="249" w:lineRule="auto"/>
        <w:ind w:firstLine="284"/>
        <w:jc w:val="both"/>
        <w:rPr>
          <w:rFonts w:cs="2  Mitra" w:hint="cs"/>
          <w:color w:val="000000" w:themeColor="text1"/>
          <w:spacing w:val="-2"/>
          <w:sz w:val="28"/>
          <w:szCs w:val="28"/>
          <w:rtl/>
        </w:rPr>
      </w:pPr>
      <w:bookmarkStart w:id="1" w:name="_Hlk217985420"/>
      <w:r>
        <w:rPr>
          <w:rFonts w:cs="2  Mitra" w:hint="cs"/>
          <w:color w:val="000000" w:themeColor="text1"/>
          <w:spacing w:val="-2"/>
          <w:sz w:val="28"/>
          <w:szCs w:val="28"/>
          <w:rtl/>
        </w:rPr>
        <w:t>ثانياً: تمسّک به عام برای حکم به خروج فرد مشکوک از تحت عنوان خاص نيز مدعای عجيبی است؛ زيرا لازمه جواز تمسّک به عام در فرد مشکوک، عدم حجيّت خاص در آن فرد است. بنابر اين حجيّت دلیل لبّی که دلالت بر عدم جواز لعن مؤمن می</w:t>
      </w:r>
      <w:r>
        <w:rPr>
          <w:rFonts w:cs="2  Mitra" w:hint="cs"/>
          <w:color w:val="000000" w:themeColor="text1"/>
          <w:spacing w:val="-2"/>
          <w:sz w:val="28"/>
          <w:szCs w:val="28"/>
          <w:rtl/>
        </w:rPr>
        <w:softHyphen/>
        <w:t>کند، منحصر به فردی خواهد بود که ايمان او معلوم است، زيرا اگر این دلیل نسبت به فردی که ایمان او مشکوک است ولی در واقع مؤمن می‌باشد نیز حجّت باشد، لازمه آن اين است که در مورد کسی که احتمال ايمان او می</w:t>
      </w:r>
      <w:r>
        <w:rPr>
          <w:rFonts w:cs="2  Mitra" w:hint="cs"/>
          <w:color w:val="000000" w:themeColor="text1"/>
          <w:spacing w:val="-2"/>
          <w:sz w:val="28"/>
          <w:szCs w:val="28"/>
          <w:rtl/>
        </w:rPr>
        <w:softHyphen/>
        <w:t>رود، نتوان به عام تمسّک نمود، چرا که حجيّت عام در چنين فردی معلوم نيست و احتمال دارد خاص در مورد وی حجّت باشد.</w:t>
      </w:r>
    </w:p>
    <w:p w14:paraId="7FE8FFB9" w14:textId="77777777" w:rsidR="000F451F" w:rsidRDefault="000F451F" w:rsidP="000F451F">
      <w:pPr>
        <w:widowControl w:val="0"/>
        <w:bidi/>
        <w:spacing w:before="240" w:line="249" w:lineRule="auto"/>
        <w:ind w:firstLine="284"/>
        <w:jc w:val="both"/>
        <w:rPr>
          <w:rFonts w:cs="2  Mitra" w:hint="cs"/>
          <w:color w:val="000000" w:themeColor="text1"/>
          <w:spacing w:val="-2"/>
          <w:sz w:val="28"/>
          <w:szCs w:val="28"/>
          <w:rtl/>
        </w:rPr>
      </w:pPr>
      <w:r>
        <w:rPr>
          <w:rFonts w:cs="2  Mitra" w:hint="cs"/>
          <w:color w:val="000000" w:themeColor="text1"/>
          <w:spacing w:val="-2"/>
          <w:sz w:val="28"/>
          <w:szCs w:val="28"/>
          <w:rtl/>
        </w:rPr>
        <w:t>در نتيجه بايد گفت: مخصص لبی در اين فرض حداکثر دلالت بر عدم جواز لعن کسی دارد که ايمان او معلوم باشد و کسی که چنين نيست، اگر از بنی امیه باشد، لعن او جایز است هرچند در واقع مؤمن باشد.</w:t>
      </w:r>
    </w:p>
    <w:p w14:paraId="28A7645B" w14:textId="77777777" w:rsidR="000F451F" w:rsidRDefault="000F451F" w:rsidP="000F451F">
      <w:pPr>
        <w:widowControl w:val="0"/>
        <w:bidi/>
        <w:spacing w:before="240" w:line="249" w:lineRule="auto"/>
        <w:ind w:firstLine="284"/>
        <w:jc w:val="both"/>
        <w:rPr>
          <w:rFonts w:cs="2  Mitra" w:hint="cs"/>
          <w:color w:val="000000" w:themeColor="text1"/>
          <w:spacing w:val="-2"/>
          <w:sz w:val="28"/>
          <w:szCs w:val="28"/>
          <w:rtl/>
        </w:rPr>
      </w:pPr>
      <w:r>
        <w:rPr>
          <w:rFonts w:cs="2  Mitra" w:hint="cs"/>
          <w:color w:val="000000" w:themeColor="text1"/>
          <w:spacing w:val="-2"/>
          <w:sz w:val="28"/>
          <w:szCs w:val="28"/>
          <w:rtl/>
        </w:rPr>
        <w:t>پس اثبات جواز لعن به واسطه تمسّک به عام، مستلزم حکم به عدم ايمان ملعون نخواهد بود.</w:t>
      </w:r>
    </w:p>
    <w:p w14:paraId="38C1B7B9" w14:textId="77777777" w:rsidR="000F451F" w:rsidRDefault="000F451F" w:rsidP="000F451F">
      <w:pPr>
        <w:widowControl w:val="0"/>
        <w:bidi/>
        <w:spacing w:before="240" w:line="249" w:lineRule="auto"/>
        <w:ind w:firstLine="284"/>
        <w:jc w:val="both"/>
        <w:rPr>
          <w:rFonts w:cs="2  Mitra" w:hint="cs"/>
          <w:color w:val="000000" w:themeColor="text1"/>
          <w:sz w:val="28"/>
          <w:szCs w:val="28"/>
          <w:rtl/>
        </w:rPr>
      </w:pPr>
      <w:r>
        <w:rPr>
          <w:rFonts w:cs="2  Mitra" w:hint="cs"/>
          <w:color w:val="000000" w:themeColor="text1"/>
          <w:sz w:val="28"/>
          <w:szCs w:val="28"/>
          <w:rtl/>
        </w:rPr>
        <w:t>به عبارت دیگر: حداکثر چيزی که می</w:t>
      </w:r>
      <w:r>
        <w:rPr>
          <w:rFonts w:cs="2  Mitra" w:hint="cs"/>
          <w:color w:val="000000" w:themeColor="text1"/>
          <w:sz w:val="28"/>
          <w:szCs w:val="28"/>
          <w:rtl/>
        </w:rPr>
        <w:softHyphen/>
        <w:t xml:space="preserve">توان در اين مسأله به آن ملتزم شد اين است که در صورت وجود مخصّص لبی، عام در حکم این است که در آن صراحتاً گفته شده باشد: عمل به عام در فرض عدم احراز اين که فردی از افراد عنوان مأخوذ در مخصص است. ومعلوم است که چنانچه در دلیلی لفظی بیان شود که لعن کسانی از بنی امیه که شک در ايمان آنان وجود </w:t>
      </w:r>
      <w:r>
        <w:rPr>
          <w:rFonts w:cs="2  Mitra" w:hint="cs"/>
          <w:color w:val="000000" w:themeColor="text1"/>
          <w:sz w:val="28"/>
          <w:szCs w:val="28"/>
          <w:rtl/>
        </w:rPr>
        <w:lastRenderedPageBreak/>
        <w:t>دارد، جايز است، اين مطلب دلالتی بر اين ندارد که افراد مشکوک در واقع فاقد ایمان هستند و در صورتی که عدم ايمان آنان در دلیل ثالثی اخذ شده باشد ـ مثل اين که حکم به قتل غير مؤمنين از آنان شده باشد ـ نمی</w:t>
      </w:r>
      <w:r>
        <w:rPr>
          <w:rFonts w:cs="2  Mitra" w:hint="cs"/>
          <w:color w:val="000000" w:themeColor="text1"/>
          <w:sz w:val="28"/>
          <w:szCs w:val="28"/>
          <w:rtl/>
        </w:rPr>
        <w:softHyphen/>
        <w:t>توان به اين واسطه موضوع آن دليل را احراز نمود.</w:t>
      </w:r>
    </w:p>
    <w:p w14:paraId="7AB204AD" w14:textId="77777777" w:rsidR="000F451F" w:rsidRDefault="000F451F" w:rsidP="000F451F">
      <w:pPr>
        <w:widowControl w:val="0"/>
        <w:bidi/>
        <w:spacing w:before="240" w:line="249" w:lineRule="auto"/>
        <w:ind w:firstLine="284"/>
        <w:jc w:val="both"/>
        <w:rPr>
          <w:rFonts w:cs="2  Mitra" w:hint="cs"/>
          <w:color w:val="000000" w:themeColor="text1"/>
          <w:sz w:val="28"/>
          <w:szCs w:val="28"/>
          <w:rtl/>
        </w:rPr>
      </w:pPr>
      <w:r>
        <w:rPr>
          <w:rFonts w:cs="2  Mitra" w:hint="cs"/>
          <w:color w:val="000000" w:themeColor="text1"/>
          <w:sz w:val="28"/>
          <w:szCs w:val="28"/>
          <w:rtl/>
        </w:rPr>
        <w:t>با توجه به مطالبی که گذشت، اشکال اصلی مدعای مرحوم آخوند آشکار می</w:t>
      </w:r>
      <w:r>
        <w:rPr>
          <w:rFonts w:cs="2  Mitra" w:hint="cs"/>
          <w:color w:val="000000" w:themeColor="text1"/>
          <w:sz w:val="28"/>
          <w:szCs w:val="28"/>
          <w:rtl/>
        </w:rPr>
        <w:softHyphen/>
        <w:t>شود، و آن اين است که در فرض حجيّت دليل لبی ـ که اساس بحث بر آن مبتنی است ـ  وجهی برای اين که در فرد مشکوک قائل به عدم حجيّت آن و حجيّت عام بگرديم وجود ندارد، زيرا فرض بر اين است که دليل لبی مثلاً دلالت بر عدم جواز لعن مؤمن می</w:t>
      </w:r>
      <w:r>
        <w:rPr>
          <w:rFonts w:cs="2  Mitra" w:hint="cs"/>
          <w:color w:val="000000" w:themeColor="text1"/>
          <w:sz w:val="28"/>
          <w:szCs w:val="28"/>
          <w:rtl/>
        </w:rPr>
        <w:softHyphen/>
        <w:t xml:space="preserve">کند، نه اين که صرفاً صرفاً بر عدم جواز لعنِ کسی دلالت داشته باشد که ایمان او به‌طور قطعی معلوم است. </w:t>
      </w:r>
    </w:p>
    <w:p w14:paraId="1A6A6433" w14:textId="77777777" w:rsidR="000F451F" w:rsidRDefault="000F451F" w:rsidP="000F451F">
      <w:pPr>
        <w:widowControl w:val="0"/>
        <w:bidi/>
        <w:spacing w:before="240" w:line="249" w:lineRule="auto"/>
        <w:ind w:firstLine="284"/>
        <w:jc w:val="both"/>
        <w:rPr>
          <w:rFonts w:cs="2  Mitra" w:hint="cs"/>
          <w:color w:val="000000" w:themeColor="text1"/>
          <w:sz w:val="28"/>
          <w:szCs w:val="28"/>
          <w:rtl/>
        </w:rPr>
      </w:pPr>
      <w:r>
        <w:rPr>
          <w:rFonts w:cs="2  Mitra" w:hint="cs"/>
          <w:color w:val="000000" w:themeColor="text1"/>
          <w:sz w:val="28"/>
          <w:szCs w:val="28"/>
          <w:rtl/>
        </w:rPr>
        <w:t>در نتیجه در مورد فرد مشکوک، از آن جا که احتمال شمول مخصّص نسبت به او وجود دارد، مادامی که این شبهه باقی بوده و مرتفع نشده باشد، وجهی برای جواز اخذ به عام وجود نخواهد داشت؛ زیرا با فرض امکان شمول مخصّص بر فرد مشکوک، نمی‌توان احراز کرد که او از زمره افرادی است که مراد جدّی متکلّم از عام شامل آنان می‌شود.</w:t>
      </w:r>
    </w:p>
    <w:p w14:paraId="7E92BC09" w14:textId="77777777" w:rsidR="000F451F" w:rsidRDefault="000F451F" w:rsidP="000F451F">
      <w:pPr>
        <w:widowControl w:val="0"/>
        <w:bidi/>
        <w:spacing w:before="240" w:line="249" w:lineRule="auto"/>
        <w:ind w:firstLine="284"/>
        <w:jc w:val="both"/>
        <w:rPr>
          <w:rFonts w:cs="2  Mitra" w:hint="cs"/>
          <w:color w:val="000000" w:themeColor="text1"/>
          <w:sz w:val="28"/>
          <w:szCs w:val="28"/>
          <w:rtl/>
        </w:rPr>
      </w:pPr>
      <w:r>
        <w:rPr>
          <w:rFonts w:cs="2  Mitra" w:hint="cs"/>
          <w:color w:val="000000" w:themeColor="text1"/>
          <w:sz w:val="28"/>
          <w:szCs w:val="28"/>
          <w:rtl/>
        </w:rPr>
        <w:t xml:space="preserve"> بنابر اين نمی</w:t>
      </w:r>
      <w:r>
        <w:rPr>
          <w:rFonts w:cs="2  Mitra" w:hint="cs"/>
          <w:color w:val="000000" w:themeColor="text1"/>
          <w:sz w:val="28"/>
          <w:szCs w:val="28"/>
          <w:rtl/>
        </w:rPr>
        <w:softHyphen/>
        <w:t>توان بين مخصص لفظی و لبی از حيث عدم جواز عمل به عام در مورد فرد مشتبه تفکیکی قائل شد.</w:t>
      </w:r>
    </w:p>
    <w:bookmarkEnd w:id="1"/>
    <w:p w14:paraId="5E44985C" w14:textId="77777777" w:rsidR="000F451F" w:rsidRDefault="000F451F" w:rsidP="000F451F">
      <w:pPr>
        <w:bidi/>
        <w:jc w:val="both"/>
        <w:rPr>
          <w:rFonts w:cs="2  Mitra" w:hint="cs"/>
          <w:color w:val="000000" w:themeColor="text1"/>
          <w:sz w:val="28"/>
          <w:szCs w:val="28"/>
          <w:rtl/>
          <w:lang w:bidi="fa-IR"/>
        </w:rPr>
      </w:pPr>
      <w:r>
        <w:rPr>
          <w:rFonts w:cs="2  Mitra" w:hint="cs"/>
          <w:color w:val="000000" w:themeColor="text1"/>
          <w:sz w:val="28"/>
          <w:szCs w:val="28"/>
          <w:rtl/>
          <w:lang w:bidi="fa-IR"/>
        </w:rPr>
        <w:t>مرحوم میرزای نائینی نيز با تفصیل در مخصص لبی می فرماید: مخصص لبی به دو نحو است؛ اگر موجب تقیید موضوع حکم شود، همانند مخصص لفظی است و تمسک به عموم در افراد مشکوک جایز نخواهد بود؛ چه مخصص عقلی ضروری باشد و حکم قرینه متصل را داشته باشد، و چه عقلی نظری یا اجماعی باشد و حکم قرینه منفصل را داشته باشد.</w:t>
      </w:r>
    </w:p>
    <w:p w14:paraId="0895DB44" w14:textId="77777777" w:rsidR="000F451F" w:rsidRDefault="000F451F" w:rsidP="000F451F">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اما اگر مخصص ناظر به درک ملاک حکم باشد بدون این که موضوع حکم را مقید کند، از آنجا که ملاک نمی‌تواند قید موضوع باشد و وظیفه احراز آن بر عهده مولاست نه عبد، تمسک به عموم در این موارد جایز است، زیرا با عموم حکم کشف می‌شود که مولا وجود ملاک را در همه افراد احراز کرده است، و بدین وسیله در فرض شک می‌توان به عموم تمسک نمود و تنها در صورت علم به فقدان ملاک، فرد به نحو تخصیص افرادی خارج می‌شود و سکوت مولا در این حالت یا به خاطر وجود مصلحتی است یا به دلیل غفلت از نبود ملاک.</w:t>
      </w:r>
      <w:r>
        <w:rPr>
          <w:rStyle w:val="FootnoteReference"/>
          <w:rFonts w:cs="2  Mitra"/>
          <w:sz w:val="28"/>
          <w:szCs w:val="28"/>
          <w:rtl/>
        </w:rPr>
        <w:footnoteReference w:id="2"/>
      </w:r>
    </w:p>
    <w:p w14:paraId="78096B02" w14:textId="77777777" w:rsidR="000F451F" w:rsidRDefault="000F451F" w:rsidP="000F451F">
      <w:pPr>
        <w:rPr>
          <w:rFonts w:cs="2  Mitra" w:hint="cs"/>
          <w:color w:val="000000" w:themeColor="text1"/>
          <w:sz w:val="28"/>
          <w:szCs w:val="28"/>
          <w:rtl/>
        </w:rPr>
      </w:pPr>
      <w:r>
        <w:rPr>
          <w:rFonts w:cs="2  Mitra" w:hint="cs"/>
          <w:color w:val="000000" w:themeColor="text1"/>
          <w:sz w:val="28"/>
          <w:szCs w:val="28"/>
          <w:rtl/>
        </w:rPr>
        <w:br w:type="page"/>
      </w:r>
    </w:p>
    <w:p w14:paraId="1C5B2B7B" w14:textId="77777777" w:rsidR="000F451F" w:rsidRDefault="000F451F" w:rsidP="000F451F">
      <w:pPr>
        <w:bidi/>
        <w:spacing w:after="0"/>
        <w:ind w:firstLine="283"/>
        <w:jc w:val="both"/>
        <w:rPr>
          <w:rFonts w:ascii="Abz-2 (Badr)" w:cs="Abz-2 (Badr)" w:hint="cs"/>
          <w:color w:val="000000"/>
          <w:sz w:val="30"/>
          <w:szCs w:val="30"/>
          <w:rtl/>
          <w:lang w:bidi="ar-YE"/>
        </w:rPr>
      </w:pPr>
      <w:r>
        <w:rPr>
          <w:rFonts w:ascii="Abz-2 (Badr)" w:cs="Abz-2 (Badr)" w:hint="cs"/>
          <w:sz w:val="30"/>
          <w:szCs w:val="30"/>
          <w:rtl/>
          <w:lang w:bidi="ar-YE"/>
        </w:rPr>
        <w:lastRenderedPageBreak/>
        <w:t>وأمّا الإشكالات الواردة على مدّعى الآخوند فهي أوّلاً: أنّ التفريق بين المخصّص اللبّي واللفظي بدعوى أنّه في المخصّص اللفظي توجد حجّتان، بينما في المخصّص اللبّي لا توجد إلّا حجّة واحدة، دعوىً غريبة؛ لأنّ فرض المسألة إنّما هو بعد تماميّة حجّيّة المخصّص اللبّي. وبناءً على ذلك فإنّ ما ذكره مثالاً وفي مقام تأييد مدّعاه، مبنيّ على فرض أنّ عدم وجوب أو حرمة إكرام أعداء المولى من بين جيرانه ليس أمراً يقطع به المكلّف، وفي هذه الصورة لا يكون له حقّ الامتناع عن إكرام من علم بعداوته منهم أيضاً.</w:t>
      </w:r>
    </w:p>
    <w:p w14:paraId="709FDBFB" w14:textId="77777777" w:rsidR="000F451F" w:rsidRDefault="000F451F" w:rsidP="000F451F">
      <w:pPr>
        <w:bidi/>
        <w:spacing w:after="0"/>
        <w:ind w:firstLine="283"/>
        <w:jc w:val="both"/>
        <w:rPr>
          <w:rFonts w:ascii="Abz-2 (Badr)" w:cs="Abz-2 (Badr)" w:hint="cs"/>
          <w:sz w:val="30"/>
          <w:szCs w:val="30"/>
          <w:rtl/>
          <w:lang w:bidi="ar-YE"/>
        </w:rPr>
      </w:pPr>
      <w:r>
        <w:rPr>
          <w:rFonts w:ascii="Abz-2 (Badr)" w:cs="Abz-2 (Badr)" w:hint="cs"/>
          <w:sz w:val="30"/>
          <w:szCs w:val="30"/>
          <w:rtl/>
          <w:lang w:bidi="ar-YE"/>
        </w:rPr>
        <w:t xml:space="preserve">وثانياً: </w:t>
      </w:r>
      <w:r>
        <w:rPr>
          <w:rFonts w:ascii="Abz-2 (Badr)" w:cs="Abz-2 (Badr)" w:hint="cs"/>
          <w:sz w:val="30"/>
          <w:szCs w:val="30"/>
          <w:rtl/>
        </w:rPr>
        <w:t>أنّ التمسّك بالعامّ للحكم بخروج الفرد المشكوك عن تحت عنوان الخاصّ دعوىً عجيبة أيضاً؛ لأنّ جواز التمسّك بالعامّ في الفرد المشكوك يستلزم عدم حجّيّة الخاصّ فيه. وبناءً على ذلك تكون حجّيّة الدليل اللبّي الدالّ على عدم جواز لعن المؤمن منحصرة في الفرد المعلوم إيمانه، إذ لو كان هذا الدليل حجّة في حقّ من كان مؤمناً واقعاً مع کون إيمانه مشكوكاً، للزم من ذلك عدم جواز التمسّك بالعامّ في مورد من يحتمل إيمانه، لأنّ حجّيّة العامّ في مثل هذا الفرد غير محرزة، لاحتمال أن يكون الخاصّ حجّة في حقّه</w:t>
      </w:r>
      <w:r>
        <w:rPr>
          <w:rFonts w:ascii="Abz-2 (Badr)" w:cs="Abz-2 (Badr)" w:hint="cs"/>
          <w:sz w:val="30"/>
          <w:szCs w:val="30"/>
          <w:lang w:bidi="ar-YE"/>
        </w:rPr>
        <w:t>.</w:t>
      </w:r>
    </w:p>
    <w:p w14:paraId="3FC72545" w14:textId="77777777" w:rsidR="000F451F" w:rsidRDefault="000F451F" w:rsidP="000F451F">
      <w:pPr>
        <w:bidi/>
        <w:spacing w:after="0"/>
        <w:ind w:firstLine="283"/>
        <w:jc w:val="both"/>
        <w:rPr>
          <w:rFonts w:ascii="Abz-2 (Badr)" w:cs="Abz-2 (Badr)" w:hint="cs"/>
          <w:sz w:val="30"/>
          <w:szCs w:val="30"/>
        </w:rPr>
      </w:pPr>
      <w:r>
        <w:rPr>
          <w:rFonts w:ascii="Abz-2 (Badr)" w:cs="Abz-2 (Badr)" w:hint="cs"/>
          <w:sz w:val="30"/>
          <w:szCs w:val="30"/>
          <w:rtl/>
        </w:rPr>
        <w:t>وعليه يجب أن يقال: إنّ المخصّص اللبّي في هذا الفرض لا يدلّ علی أكثر من عدم جواز لعن من علم إيمانه. وأمّا من لم يعلم إيمانه، فإذا كان من بني أُميّة جاز لعنه وإن كان في الواقع مؤمناً.</w:t>
      </w:r>
    </w:p>
    <w:p w14:paraId="55ED8FEC" w14:textId="77777777" w:rsidR="000F451F" w:rsidRDefault="000F451F" w:rsidP="000F451F">
      <w:pPr>
        <w:bidi/>
        <w:spacing w:after="0"/>
        <w:ind w:firstLine="283"/>
        <w:jc w:val="both"/>
        <w:rPr>
          <w:rFonts w:ascii="Abz-2 (Badr)" w:cs="Abz-2 (Badr)" w:hint="cs"/>
          <w:sz w:val="30"/>
          <w:szCs w:val="30"/>
          <w:rtl/>
          <w:lang w:bidi="ar-YE"/>
        </w:rPr>
      </w:pPr>
      <w:r>
        <w:rPr>
          <w:rFonts w:ascii="Abz-2 (Badr)" w:cs="Abz-2 (Badr)" w:hint="cs"/>
          <w:sz w:val="30"/>
          <w:szCs w:val="30"/>
          <w:rtl/>
        </w:rPr>
        <w:t>فإثبات جواز اللعن بالتمسّك بالعامّ لا يستلزم الحكم بعدم إيمان الملعون</w:t>
      </w:r>
      <w:r>
        <w:rPr>
          <w:rFonts w:ascii="Abz-2 (Badr)" w:cs="Abz-2 (Badr)" w:hint="cs"/>
          <w:sz w:val="30"/>
          <w:szCs w:val="30"/>
          <w:lang w:bidi="ar-YE"/>
        </w:rPr>
        <w:t>.</w:t>
      </w:r>
    </w:p>
    <w:p w14:paraId="15B731FF" w14:textId="77777777" w:rsidR="000F451F" w:rsidRDefault="000F451F" w:rsidP="000F451F">
      <w:pPr>
        <w:bidi/>
        <w:spacing w:after="0"/>
        <w:ind w:firstLine="283"/>
        <w:jc w:val="both"/>
        <w:rPr>
          <w:rFonts w:ascii="Abz-2 (Badr)" w:cs="Abz-2 (Badr)" w:hint="cs"/>
          <w:sz w:val="30"/>
          <w:szCs w:val="30"/>
        </w:rPr>
      </w:pPr>
      <w:r>
        <w:rPr>
          <w:rFonts w:ascii="Abz-2 (Badr)" w:cs="Abz-2 (Badr)" w:hint="cs"/>
          <w:sz w:val="30"/>
          <w:szCs w:val="30"/>
          <w:rtl/>
        </w:rPr>
        <w:t>وبعبارة أُخرى: غاية ما يمكن الالتزام به في هذه المسألة هو أنّه عند وجود مخصّص لبّي، يكون العامّ بمنزلة ما لو قيل فيه صراحة: «يجب العمل بالعامّ عند عدم إحراز كون الفرد من أفراد العنوان المأخوذ في المخصّص». ومن المعلوم أنّه لو ورد في دليل لفظي أنّ لعن من يشكّ في إيمانه ممّن كان من بني أُميّة جائز، فإنّ ذلك لا يدلّ على أنّ الأفراد المشكوكين فاقدون للإيمان في الواقع. فلو أُخذ عدم إيمانهم موضوعاً لدليل ثالث ـ كأن يحكم فيه بقتل غير المؤمنين منهم ـ فلا يمكن إحراز موضوع ذلك الدليل بمجرّد هذا البيان.</w:t>
      </w:r>
    </w:p>
    <w:p w14:paraId="3005AE46" w14:textId="77777777" w:rsidR="000F451F" w:rsidRDefault="000F451F" w:rsidP="000F451F">
      <w:pPr>
        <w:bidi/>
        <w:spacing w:after="0"/>
        <w:ind w:firstLine="283"/>
        <w:jc w:val="both"/>
        <w:rPr>
          <w:rFonts w:ascii="Abz-2 (Badr)" w:cs="Abz-2 (Badr)" w:hint="cs"/>
          <w:sz w:val="30"/>
          <w:szCs w:val="30"/>
          <w:rtl/>
          <w:lang w:bidi="ar-YE"/>
        </w:rPr>
      </w:pPr>
      <w:r>
        <w:rPr>
          <w:rFonts w:ascii="Abz-2 (Badr)" w:cs="Abz-2 (Badr)" w:hint="cs"/>
          <w:sz w:val="30"/>
          <w:szCs w:val="30"/>
          <w:rtl/>
        </w:rPr>
        <w:lastRenderedPageBreak/>
        <w:t>ومنه يتّضح الإشكال الأساس في مدّعى الآخوند، وهو أنّه مع فرض حجّيّة الدليل اللبّي ـ وهو الفرض الذي تقوم عليه المسألة ـ لا وجه للالتزام بعدم حجّيّته في الفرد المشكوك والحكم بحجّيّة العامّ فيه؛ إذ المفروض أنّ الدليل اللبّي يدلّ على عدم جواز لعن المؤمن مثلاً، لا على عدم جواز لعن من علم إيمانه خاصّة.</w:t>
      </w:r>
    </w:p>
    <w:p w14:paraId="64FB7477" w14:textId="77777777" w:rsidR="000F451F" w:rsidRDefault="000F451F" w:rsidP="000F451F">
      <w:pPr>
        <w:bidi/>
        <w:spacing w:after="0"/>
        <w:ind w:firstLine="283"/>
        <w:jc w:val="both"/>
        <w:rPr>
          <w:rFonts w:ascii="Abz-2 (Badr)" w:cs="Abz-2 (Badr)" w:hint="cs"/>
          <w:sz w:val="30"/>
          <w:szCs w:val="30"/>
          <w:lang w:bidi="ar-YE"/>
        </w:rPr>
      </w:pPr>
      <w:r>
        <w:rPr>
          <w:rFonts w:ascii="Abz-2 (Badr)" w:cs="Abz-2 (Badr)" w:hint="cs"/>
          <w:sz w:val="30"/>
          <w:szCs w:val="30"/>
          <w:rtl/>
        </w:rPr>
        <w:t>وعليه ففي الفرد المشكوك، حيث يوجد احتمال شمول المخصّص له، فمع بقاء الشبهة وعدم ارتفاعها، لا وجه لجواز التمسّك بالعامّ؛ لأنّه مع إمكان شمول المخصّص للفرد المشكوك، لا يمكن إحراز أنّ هذا الفرد ممّن يشملهم المراد الجدّي للمتكلّم من العامّ.</w:t>
      </w:r>
    </w:p>
    <w:p w14:paraId="1DAFEC8C" w14:textId="77777777" w:rsidR="000F451F" w:rsidRDefault="000F451F" w:rsidP="000F451F">
      <w:pPr>
        <w:bidi/>
        <w:spacing w:after="0"/>
        <w:ind w:firstLine="283"/>
        <w:jc w:val="both"/>
        <w:rPr>
          <w:rFonts w:ascii="Abz-2 (Badr)" w:cs="Abz-2 (Badr)" w:hint="cs"/>
          <w:sz w:val="30"/>
          <w:szCs w:val="30"/>
          <w:lang w:bidi="ar-YE"/>
        </w:rPr>
      </w:pPr>
      <w:r>
        <w:rPr>
          <w:rFonts w:ascii="Abz-2 (Badr)" w:cs="Abz-2 (Badr)" w:hint="cs"/>
          <w:sz w:val="30"/>
          <w:szCs w:val="30"/>
          <w:rtl/>
        </w:rPr>
        <w:t>ومن ثمّ لا يمكن التفريق بين المخصّص اللفظي واللبّي من حيث عدم جواز العمل بالعامّ في الفرد المشتبه.</w:t>
      </w:r>
    </w:p>
    <w:p w14:paraId="01127F3F" w14:textId="77777777" w:rsidR="000F451F" w:rsidRDefault="000F451F" w:rsidP="000F451F">
      <w:pPr>
        <w:bidi/>
        <w:spacing w:after="0"/>
        <w:ind w:firstLine="283"/>
        <w:jc w:val="both"/>
        <w:rPr>
          <w:rFonts w:ascii="Abz-2 (Badr)" w:cs="Abz-2 (Badr)" w:hint="cs"/>
          <w:sz w:val="30"/>
          <w:szCs w:val="30"/>
          <w:lang w:bidi="ar-YE"/>
        </w:rPr>
      </w:pPr>
    </w:p>
    <w:p w14:paraId="3DA832D5" w14:textId="77777777" w:rsidR="000F451F" w:rsidRDefault="000F451F" w:rsidP="000F451F">
      <w:pPr>
        <w:bidi/>
        <w:spacing w:after="0"/>
        <w:ind w:firstLine="283"/>
        <w:jc w:val="both"/>
        <w:rPr>
          <w:rFonts w:ascii="Abz-2 (Badr)" w:cs="Abz-2 (Badr)" w:hint="cs"/>
          <w:sz w:val="30"/>
          <w:szCs w:val="30"/>
          <w:lang w:bidi="ar-YE"/>
        </w:rPr>
      </w:pPr>
      <w:r>
        <w:rPr>
          <w:rFonts w:ascii="Abz-2 (Badr)" w:cs="Abz-2 (Badr)" w:hint="cs"/>
          <w:sz w:val="30"/>
          <w:szCs w:val="30"/>
          <w:rtl/>
          <w:lang w:bidi="ar-YE"/>
        </w:rPr>
        <w:t>ثمّ إنّه فصّل الميرزا النائيني أيضاً في المخصّص اللبّي حيث قال: إنّ المخصّص اللبّي على نحوين؛ فإن كان موجباً لتقييد موضوع الحكم، كان حاله حال المخصّص اللفظي ولا يجوز التمسّك بالعموم في الأفراد المشكوكة؛ سواء أكان المخصّص عقليّاً ضروريّاً حتّی يكون حكم القرينة المتّصلة، أم كان عقليّاً نظريّاً أو إجماعاً حتّی يكون له حكم القرينة المنفصلة.</w:t>
      </w:r>
    </w:p>
    <w:p w14:paraId="78B2EFE4" w14:textId="77777777" w:rsidR="000F451F" w:rsidRDefault="000F451F" w:rsidP="000F451F">
      <w:pPr>
        <w:bidi/>
        <w:spacing w:after="0"/>
        <w:ind w:firstLine="283"/>
        <w:jc w:val="both"/>
        <w:rPr>
          <w:rFonts w:ascii="Aptos" w:cs="Abz-2 (Badr)" w:hint="cs"/>
          <w:color w:val="000000" w:themeColor="text1"/>
          <w:sz w:val="28"/>
          <w:szCs w:val="28"/>
          <w:rtl/>
          <w:lang w:bidi="ar-YE"/>
        </w:rPr>
      </w:pPr>
      <w:r>
        <w:rPr>
          <w:rFonts w:ascii="Abz-2 (Badr)" w:cs="Abz-2 (Badr)" w:hint="cs"/>
          <w:sz w:val="30"/>
          <w:szCs w:val="30"/>
          <w:rtl/>
          <w:lang w:bidi="ar-YE"/>
        </w:rPr>
        <w:t>وأمّا إذا كان المخصّص ناظراً إلى إدراك ملاك الحكم من دون أن يقيّد موضوع الحكم، فحيث إنّ الملاك لا يمكن أن يكون قيداً للموضوع وأنّ وظيفة إحرازه على المولى لا على العبد، يجوز التمسّك بالعموم في الموارد المشكوكة في مثل هذه المخصّصات؛ لأنّه بعموم الحكم يكشف أنّ المولى قد أحرز وجود الملاك في جميع الأفراد، وبهذا يمكن التمسّك بالعموم عند الشكّ، ولا يخرج الفرد إلّا في صورة العلم بفقدان الملاك خروجاً تخصيصيّاً أفراديّاً. وأمّا سكوت المولى في هذه الحالة فإمّا لأجل وجود مصلحة، أو لكونه غافلاً عن فقدان الملاك في ذلك الفرد.</w:t>
      </w:r>
      <w:r>
        <w:rPr>
          <w:rStyle w:val="FootnoteReference"/>
          <w:rFonts w:cs="Abz-2 (Badr)"/>
          <w:sz w:val="28"/>
          <w:szCs w:val="28"/>
          <w:rtl/>
        </w:rPr>
        <w:footnoteReference w:id="3"/>
      </w:r>
    </w:p>
    <w:p w14:paraId="7D9979DE" w14:textId="26D41A3F" w:rsidR="001B24FC" w:rsidRPr="000F451F" w:rsidRDefault="001B24FC" w:rsidP="000F451F">
      <w:pPr>
        <w:rPr>
          <w:rtl/>
        </w:rPr>
      </w:pPr>
    </w:p>
    <w:sectPr w:rsidR="001B24FC" w:rsidRPr="000F451F"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0E5BEF" w14:textId="77777777" w:rsidR="00D27C69" w:rsidRDefault="00D27C69" w:rsidP="00C336C5">
      <w:pPr>
        <w:spacing w:after="0" w:line="240" w:lineRule="auto"/>
      </w:pPr>
      <w:r>
        <w:separator/>
      </w:r>
    </w:p>
  </w:endnote>
  <w:endnote w:type="continuationSeparator" w:id="0">
    <w:p w14:paraId="797E69BD" w14:textId="77777777" w:rsidR="00D27C69" w:rsidRDefault="00D27C69" w:rsidP="00C336C5">
      <w:pPr>
        <w:spacing w:after="0" w:line="240" w:lineRule="auto"/>
      </w:pPr>
      <w:r>
        <w:continuationSeparator/>
      </w:r>
    </w:p>
  </w:endnote>
  <w:endnote w:type="continuationNotice" w:id="1">
    <w:p w14:paraId="2BA639A6" w14:textId="77777777" w:rsidR="00D27C69" w:rsidRDefault="00D27C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Aptos">
    <w:altName w:val="Aptos"/>
    <w:charset w:val="00"/>
    <w:family w:val="swiss"/>
    <w:pitch w:val="variable"/>
    <w:sig w:usb0="20000287" w:usb1="00000003" w:usb2="00000000" w:usb3="00000000" w:csb0="0000019F"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BBF6F" w14:textId="77777777" w:rsidR="00853A01" w:rsidRDefault="00853A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A0AFF" w14:textId="77777777" w:rsidR="00853A01" w:rsidRDefault="00853A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828DE2" w14:textId="77777777" w:rsidR="00D27C69" w:rsidRDefault="00D27C69" w:rsidP="00C336C5">
      <w:pPr>
        <w:bidi/>
        <w:spacing w:after="0" w:line="240" w:lineRule="auto"/>
      </w:pPr>
      <w:r>
        <w:separator/>
      </w:r>
    </w:p>
  </w:footnote>
  <w:footnote w:type="continuationSeparator" w:id="0">
    <w:p w14:paraId="36B75B3B" w14:textId="77777777" w:rsidR="00D27C69" w:rsidRDefault="00D27C69" w:rsidP="00C336C5">
      <w:pPr>
        <w:spacing w:after="0" w:line="240" w:lineRule="auto"/>
      </w:pPr>
      <w:r>
        <w:continuationSeparator/>
      </w:r>
    </w:p>
  </w:footnote>
  <w:footnote w:type="continuationNotice" w:id="1">
    <w:p w14:paraId="627299F7" w14:textId="77777777" w:rsidR="00D27C69" w:rsidRDefault="00D27C69">
      <w:pPr>
        <w:spacing w:after="0" w:line="240" w:lineRule="auto"/>
      </w:pPr>
    </w:p>
  </w:footnote>
  <w:footnote w:id="2">
    <w:p w14:paraId="03A9F352" w14:textId="77777777" w:rsidR="000F451F" w:rsidRDefault="000F451F" w:rsidP="000F451F">
      <w:pPr>
        <w:pStyle w:val="FootnoteText"/>
        <w:bidi/>
        <w:jc w:val="left"/>
        <w:rPr>
          <w:rFonts w:cs="Abz-2 (Badr)"/>
          <w:lang w:bidi="fa-IR"/>
        </w:rPr>
      </w:pPr>
      <w:r>
        <w:rPr>
          <w:rFonts w:cs="Abz-2 (Badr)"/>
          <w:lang w:bidi="fa-IR"/>
        </w:rPr>
        <w:footnoteRef/>
      </w:r>
      <w:r>
        <w:rPr>
          <w:rFonts w:cs="Abz-2 (Badr)" w:hint="cs"/>
          <w:rtl/>
          <w:lang w:bidi="fa-IR"/>
        </w:rPr>
        <w:t xml:space="preserve"> ـ راجع: أجود التقريرات،ج1،ص475 - 478.</w:t>
      </w:r>
    </w:p>
  </w:footnote>
  <w:footnote w:id="3">
    <w:p w14:paraId="29E83D13" w14:textId="77777777" w:rsidR="000F451F" w:rsidRDefault="000F451F" w:rsidP="000F451F">
      <w:pPr>
        <w:pStyle w:val="FootnoteText"/>
        <w:bidi/>
        <w:jc w:val="left"/>
        <w:rPr>
          <w:rFonts w:cs="Abz-2 (Badr)" w:hint="cs"/>
          <w:rtl/>
          <w:lang w:bidi="fa-IR"/>
        </w:rPr>
      </w:pPr>
      <w:r>
        <w:rPr>
          <w:rFonts w:cs="Abz-2 (Badr)"/>
          <w:lang w:bidi="fa-IR"/>
        </w:rPr>
        <w:footnoteRef/>
      </w:r>
      <w:r>
        <w:rPr>
          <w:rFonts w:cs="Abz-2 (Badr)" w:hint="cs"/>
          <w:rtl/>
          <w:lang w:bidi="fa-IR"/>
        </w:rPr>
        <w:t xml:space="preserve"> ـ </w:t>
      </w:r>
      <w:r>
        <w:rPr>
          <w:rFonts w:cs="Abz-2 (Badr)" w:hint="cs"/>
          <w:rtl/>
          <w:lang w:bidi="fa-IR"/>
        </w:rPr>
        <w:t>راجع: أجود التقريرات،ج1،ص475 - 478.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CB48B" w14:textId="77777777" w:rsidR="00853A01" w:rsidRDefault="00853A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09B3273E"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0F451F">
                            <w:rPr>
                              <w:rFonts w:cs="B Mehr" w:hint="cs"/>
                              <w:rtl/>
                              <w:lang w:bidi="fa-IR"/>
                            </w:rPr>
                            <w:t xml:space="preserve">سه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F451F">
                            <w:rPr>
                              <w:rFonts w:cs="B Mehr" w:hint="cs"/>
                              <w:rtl/>
                              <w:lang w:bidi="fa-IR"/>
                            </w:rPr>
                            <w:t>09</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09B3273E"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FA4025">
                      <w:rPr>
                        <w:rFonts w:cs="B Mehr" w:hint="cs"/>
                        <w:rtl/>
                        <w:lang w:bidi="fa-IR"/>
                      </w:rPr>
                      <w:t xml:space="preserve"> </w:t>
                    </w:r>
                    <w:r w:rsidR="00E25D43">
                      <w:rPr>
                        <w:rFonts w:cs="B Mehr" w:hint="cs"/>
                        <w:rtl/>
                        <w:lang w:bidi="fa-IR"/>
                      </w:rPr>
                      <w:t xml:space="preserve"> </w:t>
                    </w:r>
                    <w:r w:rsidR="000F451F">
                      <w:rPr>
                        <w:rFonts w:cs="B Mehr" w:hint="cs"/>
                        <w:rtl/>
                        <w:lang w:bidi="fa-IR"/>
                      </w:rPr>
                      <w:t xml:space="preserve">سه </w:t>
                    </w:r>
                    <w:r w:rsidR="0048609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F451F">
                      <w:rPr>
                        <w:rFonts w:cs="B Mehr" w:hint="cs"/>
                        <w:rtl/>
                        <w:lang w:bidi="fa-IR"/>
                      </w:rPr>
                      <w:t>09</w:t>
                    </w:r>
                    <w:r w:rsidR="0048609A">
                      <w:rPr>
                        <w:rFonts w:cs="B Mehr" w:hint="cs"/>
                        <w:rtl/>
                        <w:lang w:bidi="fa-IR"/>
                      </w:rPr>
                      <w:t xml:space="preserve">   دی</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E48677" w14:textId="77777777" w:rsidR="00853A01" w:rsidRDefault="00853A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1F"/>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4C2"/>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1135"/>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154EA"/>
    <w:rsid w:val="003206D3"/>
    <w:rsid w:val="00321535"/>
    <w:rsid w:val="00323013"/>
    <w:rsid w:val="003232B0"/>
    <w:rsid w:val="00323688"/>
    <w:rsid w:val="0032374F"/>
    <w:rsid w:val="00323960"/>
    <w:rsid w:val="00323C4F"/>
    <w:rsid w:val="00323F4E"/>
    <w:rsid w:val="00324E05"/>
    <w:rsid w:val="0032621B"/>
    <w:rsid w:val="00331C30"/>
    <w:rsid w:val="003338B6"/>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3CF9"/>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09A"/>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4BB"/>
    <w:rsid w:val="004C69B2"/>
    <w:rsid w:val="004C75E6"/>
    <w:rsid w:val="004D07D0"/>
    <w:rsid w:val="004D0AFB"/>
    <w:rsid w:val="004D1F23"/>
    <w:rsid w:val="004D2107"/>
    <w:rsid w:val="004D4221"/>
    <w:rsid w:val="004D5471"/>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67B"/>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3A01"/>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8799A"/>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1E7"/>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403"/>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A86"/>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3C5C"/>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3ED1"/>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27C69"/>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CF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5D43"/>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5E"/>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025"/>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0180"/>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34932097">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0218464">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11420543">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20806029">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192843103">
      <w:bodyDiv w:val="1"/>
      <w:marLeft w:val="0"/>
      <w:marRight w:val="0"/>
      <w:marTop w:val="0"/>
      <w:marBottom w:val="0"/>
      <w:divBdr>
        <w:top w:val="none" w:sz="0" w:space="0" w:color="auto"/>
        <w:left w:val="none" w:sz="0" w:space="0" w:color="auto"/>
        <w:bottom w:val="none" w:sz="0" w:space="0" w:color="auto"/>
        <w:right w:val="none" w:sz="0" w:space="0" w:color="auto"/>
      </w:divBdr>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5711260">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08226406">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058970689">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4114</TotalTime>
  <Pages>1</Pages>
  <Words>1008</Words>
  <Characters>5746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1298</cp:revision>
  <cp:lastPrinted>2025-04-15T09:36:00Z</cp:lastPrinted>
  <dcterms:created xsi:type="dcterms:W3CDTF">2022-10-16T08:36:00Z</dcterms:created>
  <dcterms:modified xsi:type="dcterms:W3CDTF">2025-12-30T16:06:00Z</dcterms:modified>
</cp:coreProperties>
</file>