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C3E8B" w14:textId="77777777" w:rsidR="00CB3C5C" w:rsidRDefault="00CB3C5C" w:rsidP="00CB3C5C">
      <w:pPr>
        <w:widowControl w:val="0"/>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29A82726" w14:textId="77777777" w:rsidR="00CB3C5C" w:rsidRDefault="00CB3C5C" w:rsidP="00CB3C5C">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32F2AFAD" w14:textId="77777777" w:rsidR="00CB3C5C" w:rsidRDefault="00CB3C5C" w:rsidP="00CB3C5C">
      <w:pPr>
        <w:widowControl w:val="0"/>
        <w:bidi/>
        <w:spacing w:after="240"/>
        <w:jc w:val="center"/>
        <w:rPr>
          <w:rFonts w:cs="B Mitra" w:hint="cs"/>
          <w:b/>
          <w:bCs/>
          <w:sz w:val="32"/>
          <w:szCs w:val="32"/>
          <w:rtl/>
          <w:lang w:bidi="fa-IR"/>
        </w:rPr>
      </w:pPr>
      <w:r>
        <w:rPr>
          <w:rFonts w:cs="B Mitra" w:hint="cs"/>
          <w:b/>
          <w:bCs/>
          <w:sz w:val="32"/>
          <w:szCs w:val="32"/>
          <w:rtl/>
          <w:lang w:bidi="fa-IR"/>
        </w:rPr>
        <w:t>جلسه 986</w:t>
      </w:r>
    </w:p>
    <w:bookmarkEnd w:id="0"/>
    <w:p w14:paraId="234A55A5" w14:textId="77777777" w:rsidR="00CB3C5C" w:rsidRDefault="00CB3C5C" w:rsidP="00CB3C5C">
      <w:pPr>
        <w:widowControl w:val="0"/>
        <w:bidi/>
        <w:spacing w:before="240" w:line="261" w:lineRule="auto"/>
        <w:ind w:firstLine="289"/>
        <w:jc w:val="both"/>
        <w:rPr>
          <w:rFonts w:cs="2  Mitra" w:hint="cs"/>
          <w:sz w:val="28"/>
          <w:szCs w:val="28"/>
          <w:rtl/>
        </w:rPr>
      </w:pPr>
    </w:p>
    <w:p w14:paraId="75C44D97" w14:textId="77777777" w:rsidR="00CB3C5C" w:rsidRDefault="00CB3C5C" w:rsidP="00CB3C5C">
      <w:pPr>
        <w:widowControl w:val="0"/>
        <w:bidi/>
        <w:spacing w:before="240"/>
        <w:ind w:firstLine="284"/>
        <w:jc w:val="both"/>
        <w:rPr>
          <w:rFonts w:cs="2  Mitra" w:hint="cs"/>
          <w:color w:val="000000" w:themeColor="text1"/>
          <w:sz w:val="28"/>
          <w:szCs w:val="28"/>
          <w:rtl/>
          <w:lang w:bidi="fa-IR"/>
        </w:rPr>
      </w:pPr>
      <w:bookmarkStart w:id="1" w:name="_Hlk216438512"/>
      <w:r>
        <w:rPr>
          <w:rFonts w:cs="2  Mitra" w:hint="cs"/>
          <w:color w:val="000000" w:themeColor="text1"/>
          <w:sz w:val="28"/>
          <w:szCs w:val="28"/>
          <w:rtl/>
          <w:lang w:bidi="fa-IR"/>
        </w:rPr>
        <w:t>با توجه به آنچه گذشت، معلوم می</w:t>
      </w:r>
      <w:r>
        <w:rPr>
          <w:rFonts w:cs="2  Mitra" w:hint="cs"/>
          <w:color w:val="000000" w:themeColor="text1"/>
          <w:sz w:val="28"/>
          <w:szCs w:val="28"/>
          <w:rtl/>
          <w:lang w:bidi="fa-IR"/>
        </w:rPr>
        <w:softHyphen/>
        <w:t>شود ادعای مرحوم شهيد صدر مبنی بر اين که ظهور عام در عموم، وابسته به نبود مخصّص منفصل نيست، مدعای قابل قبولی نیست.</w:t>
      </w:r>
    </w:p>
    <w:p w14:paraId="06E191F8" w14:textId="77777777" w:rsidR="00CB3C5C" w:rsidRDefault="00CB3C5C" w:rsidP="00CB3C5C">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lang w:bidi="fa-IR"/>
        </w:rPr>
        <w:t>اما مدعای ايشان در خصوص اين که نفی احتمال تخصيص مبتنی بر چنين ظهوری است نيز مدعای قابل التزامی نيست، زيرا آنچه که نفی احتمال تخصيص مبتنی بر آن است، ظهور بدوی عام در عموم است که پس از نفی تخصیص، اين ظهور تبدیل به ظهور مستقر می</w:t>
      </w:r>
      <w:r>
        <w:rPr>
          <w:rFonts w:cs="2  Mitra" w:hint="cs"/>
          <w:color w:val="000000" w:themeColor="text1"/>
          <w:sz w:val="28"/>
          <w:szCs w:val="28"/>
          <w:rtl/>
          <w:lang w:bidi="fa-IR"/>
        </w:rPr>
        <w:softHyphen/>
        <w:t>گردد</w:t>
      </w:r>
      <w:r>
        <w:rPr>
          <w:rFonts w:cs="2  Mitra" w:hint="cs"/>
          <w:color w:val="000000" w:themeColor="text1"/>
          <w:sz w:val="28"/>
          <w:szCs w:val="28"/>
          <w:rtl/>
        </w:rPr>
        <w:t>.</w:t>
      </w:r>
    </w:p>
    <w:p w14:paraId="16A9912B" w14:textId="77777777" w:rsidR="00CB3C5C" w:rsidRDefault="00CB3C5C" w:rsidP="00CB3C5C">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در نتیجه روشن شد که تفصیل میان مخصّص متصل و مخصّص منفصل در این مسأله، فاقد وجهی قابل اعتناست.</w:t>
      </w:r>
    </w:p>
    <w:p w14:paraId="0232C956" w14:textId="77777777" w:rsidR="00CB3C5C" w:rsidRDefault="00CB3C5C" w:rsidP="00CB3C5C">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بعد از بيان مقدمه فوق، بحث را در ضمن چند مطلب پی می</w:t>
      </w:r>
      <w:r>
        <w:rPr>
          <w:rFonts w:cs="2  Mitra" w:hint="cs"/>
          <w:color w:val="000000" w:themeColor="text1"/>
          <w:sz w:val="28"/>
          <w:szCs w:val="28"/>
          <w:rtl/>
        </w:rPr>
        <w:softHyphen/>
        <w:t>گیریم.</w:t>
      </w:r>
    </w:p>
    <w:p w14:paraId="716289E2" w14:textId="77777777" w:rsidR="00CB3C5C" w:rsidRDefault="00CB3C5C" w:rsidP="00CB3C5C">
      <w:pPr>
        <w:widowControl w:val="0"/>
        <w:bidi/>
        <w:spacing w:before="240"/>
        <w:ind w:firstLine="284"/>
        <w:jc w:val="both"/>
        <w:rPr>
          <w:rFonts w:ascii="Neirizi" w:hAnsi="Neirizi" w:cs="Neirizi" w:hint="cs"/>
          <w:spacing w:val="8"/>
          <w:sz w:val="24"/>
          <w:szCs w:val="24"/>
          <w:rtl/>
          <w:lang w:bidi="fa-IR"/>
        </w:rPr>
      </w:pPr>
      <w:r>
        <w:rPr>
          <w:rFonts w:ascii="Neirizi" w:hAnsi="Neirizi" w:cs="Neirizi"/>
          <w:spacing w:val="8"/>
          <w:sz w:val="24"/>
          <w:szCs w:val="24"/>
          <w:rtl/>
          <w:lang w:bidi="fa-IR"/>
        </w:rPr>
        <w:t>مطلب اول: اجمال دلیل به جهت شبهه مفهومیه و دوران امر بین اقل و اکثر</w:t>
      </w:r>
    </w:p>
    <w:p w14:paraId="6C50924C" w14:textId="77777777" w:rsidR="00CB3C5C" w:rsidRDefault="00CB3C5C" w:rsidP="00CB3C5C">
      <w:pPr>
        <w:widowControl w:val="0"/>
        <w:bidi/>
        <w:spacing w:before="240"/>
        <w:ind w:firstLine="284"/>
        <w:jc w:val="both"/>
        <w:rPr>
          <w:rFonts w:cs="2  Mitra"/>
          <w:color w:val="000000" w:themeColor="text1"/>
          <w:sz w:val="28"/>
          <w:szCs w:val="28"/>
          <w:rtl/>
        </w:rPr>
      </w:pPr>
      <w:r>
        <w:rPr>
          <w:rFonts w:cs="2  Mitra" w:hint="cs"/>
          <w:color w:val="000000" w:themeColor="text1"/>
          <w:sz w:val="28"/>
          <w:szCs w:val="28"/>
          <w:rtl/>
        </w:rPr>
        <w:t>اگر حکم عام تخصیص بخورد ولی دلیل خاص از جهت مفهومی مجمل بوده و امر آن دوران میان اقل و اکثر داشته باشد ـ مانند این‌که در دلیل اول آمده باشد: «</w:t>
      </w:r>
      <w:r>
        <w:rPr>
          <w:rFonts w:cs="Abz-2 (Badr)" w:hint="cs"/>
          <w:color w:val="000000" w:themeColor="text1"/>
          <w:sz w:val="28"/>
          <w:szCs w:val="28"/>
          <w:rtl/>
        </w:rPr>
        <w:t>أکرم العلماء</w:t>
      </w:r>
      <w:r>
        <w:rPr>
          <w:rFonts w:cs="2  Mitra" w:hint="cs"/>
          <w:color w:val="000000" w:themeColor="text1"/>
          <w:sz w:val="28"/>
          <w:szCs w:val="28"/>
          <w:rtl/>
        </w:rPr>
        <w:t>» و در دلیل دوم گفته شود: «</w:t>
      </w:r>
      <w:r>
        <w:rPr>
          <w:rFonts w:cs="Abz-2 (Badr)" w:hint="cs"/>
          <w:color w:val="000000" w:themeColor="text1"/>
          <w:sz w:val="28"/>
          <w:szCs w:val="28"/>
          <w:rtl/>
        </w:rPr>
        <w:t>لا تکرم الفسّاق من العلماء</w:t>
      </w:r>
      <w:r>
        <w:rPr>
          <w:rFonts w:cs="2  Mitra" w:hint="cs"/>
          <w:color w:val="000000" w:themeColor="text1"/>
          <w:sz w:val="28"/>
          <w:szCs w:val="28"/>
          <w:rtl/>
        </w:rPr>
        <w:t>»، در حالی که ندانیم مقصود از «فاسق»، تنها «مرتکب کبیره» است یا اعم از «مرتکب کبیره» و «مصرّ بر صغیره» ـ آیا می‌توان در خصوص افرادی که شک داریم مشمول خاص هستند یا نه، به عموم عام تمسک کرد؟</w:t>
      </w:r>
    </w:p>
    <w:p w14:paraId="6A094D71" w14:textId="77777777" w:rsidR="00CB3C5C" w:rsidRDefault="00CB3C5C" w:rsidP="00CB3C5C">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 xml:space="preserve">مرحوم آخوند فرموده است: اگر خاص منفصل از نظر مفهوم مجمل و دایر بین اقل و اکثر باشد، اجمال آن ـ نه حقیقتاً و نه حکماً ـ به عام سرایت نمی‌کند و عام در موارد مشکوک حجت است؛ زیرا خاص فقط در جایی مانع عام می‌شود که دلالت </w:t>
      </w:r>
      <w:r>
        <w:rPr>
          <w:rFonts w:cs="2  Mitra" w:hint="cs"/>
          <w:color w:val="000000" w:themeColor="text1"/>
          <w:sz w:val="28"/>
          <w:szCs w:val="28"/>
          <w:rtl/>
        </w:rPr>
        <w:lastRenderedPageBreak/>
        <w:t>روشن و قطعی بر خلاف آن داشته باشد و بتوان از باب تقدیم نص یا اظهر بر ظاهر، آن را بر عام مقدم داشت.</w:t>
      </w:r>
      <w:r>
        <w:rPr>
          <w:rStyle w:val="FootnoteReference"/>
          <w:rFonts w:cs="2  Mitra"/>
          <w:sz w:val="28"/>
          <w:szCs w:val="28"/>
          <w:rtl/>
        </w:rPr>
        <w:footnoteReference w:id="2"/>
      </w:r>
    </w:p>
    <w:p w14:paraId="01ECCE2F" w14:textId="77777777" w:rsidR="00CB3C5C" w:rsidRDefault="00CB3C5C" w:rsidP="00CB3C5C">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آنچه مرحوم آخوند ادعا کرده‌اند مبنی بر این‌که رفع ید از ظهور عام، تنها در مواردی است که خاص نص یا اظهر باشد و در صورت شک در شمول خاص بر موردی، ظهور عام بر قوّت خود باقی است، قابل پذیرش نیست؛ زیرا همان‌گونه که خود ایشان نیز پذیرفته‌اند، دلیل خاص مبیّن مراد جدی متکلّم از عام است. بنابر این با احراز ورود خاص، روشن می‌شود که مراد جدی متکلّم از عام مطابق با مدلول استعمالی آن نیست و تبیین آن نیازمند دلیل خاص است. پس اگر خاص مجمل باشد، مراد جدی متکلّم از عام نیز به تبع آن دچار اجمال خواهد شد و ادعای بقای ظهور عام بر حالت نخست وجهی نخواهد داشت، چرا که علم به عدم اراده مدلول استعمالی به نحو جدی حاصل است و تعیین مراد جدی از عام جز از طریق رجوع به خاص امکان‌پذیر نیست.</w:t>
      </w:r>
    </w:p>
    <w:p w14:paraId="74AE844A" w14:textId="77777777" w:rsidR="00CB3C5C" w:rsidRDefault="00CB3C5C" w:rsidP="00CB3C5C">
      <w:pPr>
        <w:rPr>
          <w:rFonts w:cs="2  Mitra" w:hint="cs"/>
          <w:color w:val="000000" w:themeColor="text1"/>
          <w:sz w:val="28"/>
          <w:szCs w:val="28"/>
          <w:rtl/>
        </w:rPr>
      </w:pPr>
      <w:r>
        <w:rPr>
          <w:rFonts w:cs="2  Mitra" w:hint="cs"/>
          <w:color w:val="000000" w:themeColor="text1"/>
          <w:sz w:val="28"/>
          <w:szCs w:val="28"/>
          <w:rtl/>
        </w:rPr>
        <w:br w:type="page"/>
      </w:r>
    </w:p>
    <w:p w14:paraId="6615F2F5" w14:textId="77777777" w:rsidR="00CB3C5C" w:rsidRDefault="00CB3C5C" w:rsidP="00CB3C5C">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lastRenderedPageBreak/>
        <w:t>بناءً على ما تقدّم في الجلسات السابقة، يتّضح أنّ دعوى الشهيد الصدر بأنّ ظهور العامّ في العموم غير متوقّف على عدم وجود مخصّصٍ منفصل، دعوىً غير تامّة ولا يمكن الالتزام بها.</w:t>
      </w:r>
    </w:p>
    <w:p w14:paraId="73169D4F" w14:textId="77777777" w:rsidR="00CB3C5C" w:rsidRDefault="00CB3C5C" w:rsidP="00CB3C5C">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كما أنّ دعواه القائلة بأنّ نفي احتمال التخصيص مبتنٍ على مثل هذا الظهور، ليست قابلة للقبول أيضاً؛ لأنّ الأساس في نفي احتمال التخصيص إنّما هو الظهور البدوي للعامّ في العموم، وهذا الظهور ـ بعد نفي التخصيص ـ يتحوّل إلى ظهور مستقرّ.</w:t>
      </w:r>
    </w:p>
    <w:p w14:paraId="459DC6A7" w14:textId="77777777" w:rsidR="00CB3C5C" w:rsidRDefault="00CB3C5C" w:rsidP="00CB3C5C">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وعلى ذلك يتبيّن أنّ التفصيل بين المخصّص المتّصل والمخصّص المنفصل في هذه المسألة لا يستند إلى وجه معتدّ به.</w:t>
      </w:r>
    </w:p>
    <w:p w14:paraId="50DABE52" w14:textId="77777777" w:rsidR="00CB3C5C" w:rsidRDefault="00CB3C5C" w:rsidP="00CB3C5C">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وبعد بيان هذه المقدّمة، نتابع البحث ضمن عدّة مطالب:</w:t>
      </w:r>
    </w:p>
    <w:p w14:paraId="72C43ED4" w14:textId="77777777" w:rsidR="00CB3C5C" w:rsidRDefault="00CB3C5C" w:rsidP="00CB3C5C">
      <w:pPr>
        <w:widowControl w:val="0"/>
        <w:bidi/>
        <w:spacing w:after="0" w:line="252" w:lineRule="auto"/>
        <w:ind w:firstLine="284"/>
        <w:jc w:val="both"/>
        <w:rPr>
          <w:rFonts w:cs="Abz-2 (Badr)" w:hint="cs"/>
          <w:color w:val="000000" w:themeColor="text1"/>
          <w:sz w:val="28"/>
          <w:szCs w:val="28"/>
          <w:rtl/>
        </w:rPr>
      </w:pPr>
      <w:r>
        <w:rPr>
          <w:rFonts w:cs="Abz-2 (Badr)" w:hint="cs"/>
          <w:b/>
          <w:bCs/>
          <w:color w:val="000000" w:themeColor="text1"/>
          <w:sz w:val="28"/>
          <w:szCs w:val="28"/>
          <w:rtl/>
        </w:rPr>
        <w:t>المطلب الأوّل: إجمال الدليل من جهة الشبهة المفهوميّة الحاصلة من دوران الأمر بين الأقلّ والأكثر</w:t>
      </w:r>
    </w:p>
    <w:p w14:paraId="6DAB528F" w14:textId="77777777" w:rsidR="00CB3C5C" w:rsidRDefault="00CB3C5C" w:rsidP="00CB3C5C">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إذا خصّص الحكم العامّ وكان الدليل الخاصّ مجملاً من حيث المفهوم ودار الأمر فيه بين الأقلّ والأكثر ـ كما إذا ورد في الدليل الأوّل: «أكرم العلماء» وورد في الدليل الثاني: «لا تكرم الفسّاق من العلماء» مع الشكّ في أنّ المراد من «الفاسق» هل هو خصوص مرتكب الكبيرة، أو الأعمّ من مرتكب الكبيرة والمصرّ على الصغيرة ـ فهل يمكن التمسّك بعموم العامّ في حقّ الأفراد الذين نشكّ في شمول الخاصّ لهم؟</w:t>
      </w:r>
    </w:p>
    <w:p w14:paraId="608B286A" w14:textId="77777777" w:rsidR="00CB3C5C" w:rsidRDefault="00CB3C5C" w:rsidP="00CB3C5C">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ذهب المحقّق الخراساني إلى أنّه إذا كان الخاصّ منفصلاً ومجملاً من حيث المفهوم، ودار الأمر فيه بين الأقلّ والأكثر، فإنّ إجماله لا يسري إلى العامّ ـ لا حقيقة ولا حكماً ـ ويكون العامّ حجّة في الموارد المشكوكة؛ وذلك لأنّ الخاصّ إنّما يمنع عن التمسّك</w:t>
      </w:r>
      <w:r>
        <w:rPr>
          <w:rFonts w:cs="Abz-2 (Badr)" w:hint="cs"/>
          <w:color w:val="000000" w:themeColor="text1"/>
          <w:sz w:val="28"/>
          <w:szCs w:val="28"/>
          <w:rtl/>
          <w:lang w:bidi="fa-IR"/>
        </w:rPr>
        <w:t xml:space="preserve"> ب</w:t>
      </w:r>
      <w:r>
        <w:rPr>
          <w:rFonts w:cs="Abz-2 (Badr)" w:hint="cs"/>
          <w:color w:val="000000" w:themeColor="text1"/>
          <w:sz w:val="28"/>
          <w:szCs w:val="28"/>
          <w:rtl/>
        </w:rPr>
        <w:t>العامّ في مورد تكون دلالته فيه واضحة وقطعيّة بحيث يصحّ تقديمه على العامّ من باب تقديم النصّ أو الأظهر على الظاهر.</w:t>
      </w:r>
      <w:r>
        <w:rPr>
          <w:rStyle w:val="FootnoteReference"/>
          <w:rFonts w:cs="Abz-2 (Badr)"/>
          <w:sz w:val="28"/>
          <w:szCs w:val="28"/>
          <w:rtl/>
        </w:rPr>
        <w:footnoteReference w:id="3"/>
      </w:r>
    </w:p>
    <w:p w14:paraId="559A5D12" w14:textId="77777777" w:rsidR="00CB3C5C" w:rsidRDefault="00CB3C5C" w:rsidP="00CB3C5C">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غير أنّ ما أفاده من أنّ رفع اليد عن ظهور العامّ إنّما يكون في موارد كون الخاصّ نصّاً أو أظهر، وأنّه مع الشكّ في شمول الخاصّ لمورد ما، يبقى ظهور العامّ وحجّيّته على قوّته، غير قابل للقبول؛ إذ كما سلّم هو نفسه، فإنّ الدليل الخاصّ مبيّن للمراد الجدّي للمتكلّم من العامّ وبمجرّد إحراز ورود الخاصّ، يعلم أنّ المراد الجدّي من العامّ لا يطابق مدلوله الاستعمالي، وأنّ تعيين هذا المراد الجدّي يتوقّف على الرجوع إلى الدليل الخاصّ.</w:t>
      </w:r>
    </w:p>
    <w:p w14:paraId="1DF17154" w14:textId="77777777" w:rsidR="00CB3C5C" w:rsidRDefault="00CB3C5C" w:rsidP="00CB3C5C">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 xml:space="preserve">وعليه فإذا كان الخاصّ مجملاً، فإنّ المراد الجدّي من العام يتّصف بالإجمال تبعاً له، ولا يبقى مجال لدعوى بقاء ظهور </w:t>
      </w:r>
      <w:r>
        <w:rPr>
          <w:rFonts w:cs="Abz-2 (Badr)" w:hint="cs"/>
          <w:color w:val="000000" w:themeColor="text1"/>
          <w:sz w:val="28"/>
          <w:szCs w:val="28"/>
          <w:rtl/>
        </w:rPr>
        <w:lastRenderedPageBreak/>
        <w:t>العامّ على حاله الأوّل، بل لا أقلّ من کون حجّيّته مجملة بناءً على ما ذهب إليه الأُصوليّون من التفکيك بين ظهور العامّ وحجّيّته؛ وذلك لأنّ العلم بعدم إرادة المدلول الاستعمالي على نحو الجدّ حاصل، ولا يمكن تعيين المراد الجدّي من العامّ إلّا من خلال الدليل الخاصّ.</w:t>
      </w:r>
    </w:p>
    <w:p w14:paraId="52956BAC" w14:textId="77777777" w:rsidR="00CB3C5C" w:rsidRDefault="00CB3C5C" w:rsidP="00CB3C5C">
      <w:pPr>
        <w:widowControl w:val="0"/>
        <w:bidi/>
        <w:spacing w:after="0" w:line="252" w:lineRule="auto"/>
        <w:ind w:firstLine="284"/>
        <w:jc w:val="both"/>
        <w:rPr>
          <w:rFonts w:cs="Abz-2 (Badr)"/>
          <w:color w:val="000000" w:themeColor="text1"/>
          <w:sz w:val="28"/>
          <w:szCs w:val="28"/>
        </w:rPr>
      </w:pPr>
    </w:p>
    <w:bookmarkEnd w:id="1"/>
    <w:p w14:paraId="49507C40" w14:textId="77777777" w:rsidR="00CB3C5C" w:rsidRDefault="00CB3C5C" w:rsidP="00CB3C5C">
      <w:pPr>
        <w:widowControl w:val="0"/>
        <w:bidi/>
        <w:spacing w:before="240" w:line="252" w:lineRule="auto"/>
        <w:ind w:firstLine="284"/>
        <w:jc w:val="both"/>
        <w:rPr>
          <w:rFonts w:cs="Abz-2 (Badr)"/>
          <w:color w:val="000000" w:themeColor="text1"/>
          <w:sz w:val="28"/>
          <w:szCs w:val="28"/>
        </w:rPr>
      </w:pPr>
    </w:p>
    <w:p w14:paraId="7D9979DE" w14:textId="26D41A3F" w:rsidR="001B24FC" w:rsidRPr="00CB3C5C" w:rsidRDefault="001B24FC" w:rsidP="00CB3C5C">
      <w:pPr>
        <w:rPr>
          <w:rtl/>
        </w:rPr>
      </w:pPr>
    </w:p>
    <w:sectPr w:rsidR="001B24FC" w:rsidRPr="00CB3C5C"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1D775" w14:textId="77777777" w:rsidR="00271135" w:rsidRDefault="00271135" w:rsidP="00C336C5">
      <w:pPr>
        <w:spacing w:after="0" w:line="240" w:lineRule="auto"/>
      </w:pPr>
      <w:r>
        <w:separator/>
      </w:r>
    </w:p>
  </w:endnote>
  <w:endnote w:type="continuationSeparator" w:id="0">
    <w:p w14:paraId="16035F35" w14:textId="77777777" w:rsidR="00271135" w:rsidRDefault="00271135" w:rsidP="00C336C5">
      <w:pPr>
        <w:spacing w:after="0" w:line="240" w:lineRule="auto"/>
      </w:pPr>
      <w:r>
        <w:continuationSeparator/>
      </w:r>
    </w:p>
  </w:endnote>
  <w:endnote w:type="continuationNotice" w:id="1">
    <w:p w14:paraId="292D9E15" w14:textId="77777777" w:rsidR="00271135" w:rsidRDefault="002711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Neirizi">
    <w:panose1 w:val="02000503000000020003"/>
    <w:charset w:val="00"/>
    <w:family w:val="auto"/>
    <w:pitch w:val="variable"/>
    <w:sig w:usb0="61002A87" w:usb1="80000000" w:usb2="00000008" w:usb3="00000000" w:csb0="000101FF"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EFD2" w14:textId="77777777" w:rsidR="00C87AA4" w:rsidRDefault="00C87A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3935" w14:textId="77777777" w:rsidR="00C87AA4" w:rsidRDefault="00C8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72DCA" w14:textId="77777777" w:rsidR="00271135" w:rsidRDefault="00271135" w:rsidP="00C336C5">
      <w:pPr>
        <w:bidi/>
        <w:spacing w:after="0" w:line="240" w:lineRule="auto"/>
      </w:pPr>
      <w:r>
        <w:separator/>
      </w:r>
    </w:p>
  </w:footnote>
  <w:footnote w:type="continuationSeparator" w:id="0">
    <w:p w14:paraId="7AEBD862" w14:textId="77777777" w:rsidR="00271135" w:rsidRDefault="00271135" w:rsidP="00C336C5">
      <w:pPr>
        <w:spacing w:after="0" w:line="240" w:lineRule="auto"/>
      </w:pPr>
      <w:r>
        <w:continuationSeparator/>
      </w:r>
    </w:p>
  </w:footnote>
  <w:footnote w:type="continuationNotice" w:id="1">
    <w:p w14:paraId="5BAD6693" w14:textId="77777777" w:rsidR="00271135" w:rsidRDefault="00271135">
      <w:pPr>
        <w:spacing w:after="0" w:line="240" w:lineRule="auto"/>
      </w:pPr>
    </w:p>
  </w:footnote>
  <w:footnote w:id="2">
    <w:p w14:paraId="2FBB8A21" w14:textId="77777777" w:rsidR="00CB3C5C" w:rsidRDefault="00CB3C5C" w:rsidP="00CB3C5C">
      <w:pPr>
        <w:pStyle w:val="FootnoteText"/>
        <w:bidi/>
        <w:jc w:val="left"/>
        <w:rPr>
          <w:rFonts w:cs="Abz-2 (Badr)"/>
          <w:lang w:bidi="fa-IR"/>
        </w:rPr>
      </w:pPr>
      <w:r>
        <w:rPr>
          <w:rFonts w:cs="Abz-2 (Badr)"/>
          <w:lang w:bidi="fa-IR"/>
        </w:rPr>
        <w:footnoteRef/>
      </w:r>
      <w:r>
        <w:rPr>
          <w:rFonts w:cs="Abz-2 (Badr)" w:hint="cs"/>
          <w:rtl/>
          <w:lang w:bidi="fa-IR"/>
        </w:rPr>
        <w:t xml:space="preserve"> ـ راجع: کفاية الأُصول،ص220.</w:t>
      </w:r>
    </w:p>
  </w:footnote>
  <w:footnote w:id="3">
    <w:p w14:paraId="48AED686" w14:textId="77777777" w:rsidR="00CB3C5C" w:rsidRDefault="00CB3C5C" w:rsidP="00CB3C5C">
      <w:pPr>
        <w:pStyle w:val="FootnoteText"/>
        <w:bidi/>
        <w:jc w:val="left"/>
        <w:rPr>
          <w:rFonts w:cs="Abz-2 (Badr)" w:hint="cs"/>
          <w:rtl/>
          <w:lang w:bidi="fa-IR"/>
        </w:rPr>
      </w:pPr>
      <w:r>
        <w:rPr>
          <w:rFonts w:cs="Abz-2 (Badr)"/>
          <w:lang w:bidi="fa-IR"/>
        </w:rPr>
        <w:footnoteRef/>
      </w:r>
      <w:r>
        <w:rPr>
          <w:rFonts w:cs="Abz-2 (Badr)" w:hint="cs"/>
          <w:rtl/>
          <w:lang w:bidi="fa-IR"/>
        </w:rPr>
        <w:t xml:space="preserve"> ـ </w:t>
      </w:r>
      <w:r>
        <w:rPr>
          <w:rFonts w:cs="Abz-2 (Badr)" w:hint="cs"/>
          <w:rtl/>
          <w:lang w:bidi="fa-IR"/>
        </w:rPr>
        <w:t>راجع: کفاية الأُصول،ص220.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1D38" w14:textId="77777777" w:rsidR="00C87AA4" w:rsidRDefault="00C87A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6272EF4D"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CB3C5C">
                            <w:rPr>
                              <w:rFonts w:cs="B Mehr" w:hint="cs"/>
                              <w:rtl/>
                              <w:lang w:bidi="fa-IR"/>
                            </w:rPr>
                            <w:t>دو</w:t>
                          </w:r>
                          <w:r w:rsidR="002C4A0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CB3C5C">
                            <w:rPr>
                              <w:rFonts w:cs="B Mehr" w:hint="cs"/>
                              <w:rtl/>
                              <w:lang w:bidi="fa-IR"/>
                            </w:rPr>
                            <w:t>24</w:t>
                          </w:r>
                          <w:r w:rsidR="0094174A">
                            <w:rPr>
                              <w:rFonts w:cs="B Mehr" w:hint="cs"/>
                              <w:rtl/>
                              <w:lang w:bidi="fa-IR"/>
                            </w:rPr>
                            <w:t xml:space="preserve">   </w:t>
                          </w:r>
                          <w:r w:rsidR="00331C30">
                            <w:rPr>
                              <w:rFonts w:cs="B Mehr" w:hint="cs"/>
                              <w:rtl/>
                              <w:lang w:bidi="fa-IR"/>
                            </w:rPr>
                            <w:t>آذر</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6272EF4D"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CB3C5C">
                      <w:rPr>
                        <w:rFonts w:cs="B Mehr" w:hint="cs"/>
                        <w:rtl/>
                        <w:lang w:bidi="fa-IR"/>
                      </w:rPr>
                      <w:t>دو</w:t>
                    </w:r>
                    <w:r w:rsidR="002C4A0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CB3C5C">
                      <w:rPr>
                        <w:rFonts w:cs="B Mehr" w:hint="cs"/>
                        <w:rtl/>
                        <w:lang w:bidi="fa-IR"/>
                      </w:rPr>
                      <w:t>24</w:t>
                    </w:r>
                    <w:r w:rsidR="0094174A">
                      <w:rPr>
                        <w:rFonts w:cs="B Mehr" w:hint="cs"/>
                        <w:rtl/>
                        <w:lang w:bidi="fa-IR"/>
                      </w:rPr>
                      <w:t xml:space="preserve">   </w:t>
                    </w:r>
                    <w:r w:rsidR="00331C30">
                      <w:rPr>
                        <w:rFonts w:cs="B Mehr" w:hint="cs"/>
                        <w:rtl/>
                        <w:lang w:bidi="fa-IR"/>
                      </w:rPr>
                      <w:t>آذر</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FCD07" w14:textId="77777777" w:rsidR="00C87AA4" w:rsidRDefault="00C87A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835"/>
    <w:rsid w:val="00307194"/>
    <w:rsid w:val="00314007"/>
    <w:rsid w:val="003206D3"/>
    <w:rsid w:val="00321535"/>
    <w:rsid w:val="00323013"/>
    <w:rsid w:val="003232B0"/>
    <w:rsid w:val="00323688"/>
    <w:rsid w:val="0032374F"/>
    <w:rsid w:val="00323960"/>
    <w:rsid w:val="00323C4F"/>
    <w:rsid w:val="00323F4E"/>
    <w:rsid w:val="00324E05"/>
    <w:rsid w:val="0032621B"/>
    <w:rsid w:val="00331C30"/>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9B2"/>
    <w:rsid w:val="004C75E6"/>
    <w:rsid w:val="004D07D0"/>
    <w:rsid w:val="004D0AFB"/>
    <w:rsid w:val="004D1F23"/>
    <w:rsid w:val="004D2107"/>
    <w:rsid w:val="004D4221"/>
    <w:rsid w:val="004D5471"/>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4111</TotalTime>
  <Pages>1</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1278</cp:revision>
  <cp:lastPrinted>2025-04-15T09:36:00Z</cp:lastPrinted>
  <dcterms:created xsi:type="dcterms:W3CDTF">2022-10-16T08:36:00Z</dcterms:created>
  <dcterms:modified xsi:type="dcterms:W3CDTF">2025-12-15T08:07:00Z</dcterms:modified>
</cp:coreProperties>
</file>