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A933" w14:textId="77777777" w:rsidR="0044129D" w:rsidRDefault="0044129D" w:rsidP="0044129D">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28B2ADDF" w14:textId="77777777" w:rsidR="0044129D" w:rsidRDefault="0044129D" w:rsidP="0044129D">
      <w:pPr>
        <w:widowControl w:val="0"/>
        <w:bidi/>
        <w:spacing w:after="0"/>
        <w:jc w:val="center"/>
        <w:rPr>
          <w:rFonts w:cs="B Mitra"/>
          <w:b/>
          <w:bCs/>
          <w:sz w:val="32"/>
          <w:szCs w:val="32"/>
          <w:rtl/>
          <w:lang w:bidi="fa-IR"/>
        </w:rPr>
      </w:pPr>
      <w:r>
        <w:rPr>
          <w:rFonts w:cs="B Mitra" w:hint="cs"/>
          <w:b/>
          <w:bCs/>
          <w:sz w:val="32"/>
          <w:szCs w:val="32"/>
          <w:rtl/>
          <w:lang w:bidi="fa-IR"/>
        </w:rPr>
        <w:t>تقریر بحث فقه</w:t>
      </w:r>
    </w:p>
    <w:p w14:paraId="69C4FB28" w14:textId="77777777" w:rsidR="0044129D" w:rsidRDefault="0044129D" w:rsidP="0044129D">
      <w:pPr>
        <w:widowControl w:val="0"/>
        <w:bidi/>
        <w:spacing w:after="0"/>
        <w:jc w:val="center"/>
        <w:rPr>
          <w:rFonts w:cs="B Mitra"/>
          <w:b/>
          <w:bCs/>
          <w:sz w:val="32"/>
          <w:szCs w:val="32"/>
          <w:rtl/>
          <w:lang w:bidi="fa-IR"/>
        </w:rPr>
      </w:pPr>
      <w:r>
        <w:rPr>
          <w:rFonts w:cs="B Mitra" w:hint="cs"/>
          <w:b/>
          <w:bCs/>
          <w:sz w:val="32"/>
          <w:szCs w:val="32"/>
          <w:rtl/>
          <w:lang w:bidi="fa-IR"/>
        </w:rPr>
        <w:t>جلسه 884</w:t>
      </w:r>
    </w:p>
    <w:p w14:paraId="44E421BF" w14:textId="77777777" w:rsidR="0044129D" w:rsidRDefault="0044129D" w:rsidP="0044129D">
      <w:pPr>
        <w:widowControl w:val="0"/>
        <w:bidi/>
        <w:spacing w:after="0"/>
        <w:ind w:firstLine="284"/>
        <w:jc w:val="both"/>
        <w:rPr>
          <w:rFonts w:cs="Abz-2 (Badr)"/>
          <w:color w:val="000000" w:themeColor="text1"/>
          <w:sz w:val="28"/>
          <w:szCs w:val="28"/>
          <w:rtl/>
          <w:lang w:bidi="fa-IR"/>
        </w:rPr>
      </w:pPr>
      <w:bookmarkStart w:id="0" w:name="_Hlk159096966"/>
    </w:p>
    <w:bookmarkEnd w:id="0"/>
    <w:p w14:paraId="7EEF6BA8" w14:textId="77777777" w:rsidR="0044129D" w:rsidRDefault="0044129D" w:rsidP="0044129D">
      <w:pPr>
        <w:widowControl w:val="0"/>
        <w:bidi/>
        <w:spacing w:after="0" w:line="252"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شهيد ثانی نيز در خصوص خادمه فروعی را مطرح کرده است.</w:t>
      </w:r>
    </w:p>
    <w:p w14:paraId="420212FA" w14:textId="77777777" w:rsidR="0044129D" w:rsidRDefault="0044129D" w:rsidP="0044129D">
      <w:pPr>
        <w:widowControl w:val="0"/>
        <w:bidi/>
        <w:spacing w:after="0" w:line="252" w:lineRule="auto"/>
        <w:ind w:firstLine="284"/>
        <w:jc w:val="both"/>
        <w:rPr>
          <w:rFonts w:cs="Abz-2 (Badr)"/>
          <w:color w:val="0070C0"/>
          <w:sz w:val="28"/>
          <w:szCs w:val="28"/>
          <w:rtl/>
          <w:lang w:bidi="ar"/>
        </w:rPr>
      </w:pPr>
      <w:r>
        <w:rPr>
          <w:rFonts w:cs="Abz-2 (Badr)" w:hint="cs"/>
          <w:color w:val="000000" w:themeColor="text1"/>
          <w:sz w:val="28"/>
          <w:szCs w:val="28"/>
          <w:rtl/>
          <w:lang w:bidi="fa-IR"/>
        </w:rPr>
        <w:t>ايشان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لو تنازعا في الخادمة التي يستأجرها الزوج لخدمتها أو الجارية التي تخدمها من جواريه، ففي تقديم مرادها أو مراده وجهان، من أنّ الخدمة لها وقد يكون الذي عيّنته أوفق لها وأسرع إلى الامتثال، ومن أنّ الواجب عليه أن يكفيها الخدمة دون أن يكتفي بتلك المعيّنة، كما لا يجوز تكليفه النفقة من طعام معيّن، ولأنّه قد يدخله ريبة وتهمة فيمن تختارها؛ وهذا أصحّ‌.</w:t>
      </w:r>
    </w:p>
    <w:p w14:paraId="649EDFE7" w14:textId="77777777" w:rsidR="0044129D" w:rsidRDefault="0044129D" w:rsidP="0044129D">
      <w:pPr>
        <w:widowControl w:val="0"/>
        <w:bidi/>
        <w:spacing w:after="0" w:line="252" w:lineRule="auto"/>
        <w:ind w:firstLine="284"/>
        <w:jc w:val="both"/>
        <w:rPr>
          <w:rFonts w:cs="Abz-2 (Badr)"/>
          <w:color w:val="0070C0"/>
          <w:sz w:val="28"/>
          <w:szCs w:val="28"/>
          <w:rtl/>
          <w:lang w:bidi="fa-IR"/>
        </w:rPr>
      </w:pPr>
      <w:r>
        <w:rPr>
          <w:rFonts w:cs="Abz-2 (Badr)" w:hint="cs"/>
          <w:color w:val="0070C0"/>
          <w:sz w:val="28"/>
          <w:szCs w:val="28"/>
          <w:rtl/>
          <w:lang w:bidi="ar"/>
        </w:rPr>
        <w:t>هذا في الابتداء. فأمّا إذا توافقا على خادمة وأُلفتها، أو كانت قد حملت خادمة مع نفسها فأراد إبدالها، ففي جوازه وجهان، من تخييره في الإخدام، وعسر قطع المألوف على النفس؛ والأوّل أقوى.</w:t>
      </w:r>
    </w:p>
    <w:p w14:paraId="3E008E04" w14:textId="77777777" w:rsidR="0044129D" w:rsidRDefault="0044129D" w:rsidP="0044129D">
      <w:pPr>
        <w:widowControl w:val="0"/>
        <w:bidi/>
        <w:spacing w:after="0" w:line="252" w:lineRule="auto"/>
        <w:ind w:firstLine="284"/>
        <w:jc w:val="both"/>
        <w:rPr>
          <w:rFonts w:cs="Abz-2 (Badr)"/>
          <w:color w:val="000000" w:themeColor="text1"/>
          <w:sz w:val="28"/>
          <w:szCs w:val="28"/>
          <w:lang w:bidi="fa-IR"/>
        </w:rPr>
      </w:pPr>
      <w:r>
        <w:rPr>
          <w:rFonts w:cs="Abz-2 (Badr)" w:hint="cs"/>
          <w:color w:val="0070C0"/>
          <w:sz w:val="28"/>
          <w:szCs w:val="28"/>
          <w:rtl/>
          <w:lang w:bidi="ar"/>
        </w:rPr>
        <w:t>ولو أرادت استخدام ثانية وثالثة من مالها فللزوج أن لا يرضى بدخولهنّ‌ داره. وكذا لو حملت معها أكثر من واحدة، فله أن يقتصر على واحدة ويخرج الباقيات من داره، كما له أن يكلّفها بإخراج مالها من داره، ومنع أبويها من الدخول عليها، وإخراج ولدها من غيره إذا استصحبته معها.»</w:t>
      </w:r>
      <w:r>
        <w:rPr>
          <w:rFonts w:cs="Abz-2 (Badr)"/>
          <w:color w:val="000000" w:themeColor="text1"/>
          <w:sz w:val="28"/>
          <w:szCs w:val="28"/>
          <w:vertAlign w:val="superscript"/>
          <w:rtl/>
          <w:lang w:bidi="fa-IR"/>
        </w:rPr>
        <w:footnoteReference w:id="1"/>
      </w:r>
    </w:p>
    <w:p w14:paraId="3654F4EA"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حق اين است که در خصوص تعيين خادمه، بايد بين زوجين توافق صورت بپذيرد و نمی</w:t>
      </w:r>
      <w:r>
        <w:rPr>
          <w:rFonts w:cs="Abz-2 (Badr)" w:hint="cs"/>
          <w:color w:val="000000" w:themeColor="text1"/>
          <w:sz w:val="28"/>
          <w:szCs w:val="28"/>
          <w:rtl/>
          <w:lang w:bidi="fa-IR"/>
        </w:rPr>
        <w:softHyphen/>
        <w:t>توان حکم به تقدم حق يکی بر ديگری نمود؛ زيرا همان گونه که زوج حق دارد که فردی را از ورود به خانه خود منع نمايد، زوجه نيز می</w:t>
      </w:r>
      <w:r>
        <w:rPr>
          <w:rFonts w:cs="Abz-2 (Badr)" w:hint="cs"/>
          <w:color w:val="000000" w:themeColor="text1"/>
          <w:sz w:val="28"/>
          <w:szCs w:val="28"/>
          <w:rtl/>
          <w:lang w:bidi="fa-IR"/>
        </w:rPr>
        <w:softHyphen/>
        <w:t>تواند از اين که امور خود را فردی خاص بسپارد، اجتناب کند، و نمی</w:t>
      </w:r>
      <w:r>
        <w:rPr>
          <w:rFonts w:cs="Abz-2 (Badr)" w:hint="cs"/>
          <w:color w:val="000000" w:themeColor="text1"/>
          <w:sz w:val="28"/>
          <w:szCs w:val="28"/>
          <w:rtl/>
          <w:lang w:bidi="fa-IR"/>
        </w:rPr>
        <w:softHyphen/>
        <w:t>توان هيچ يک از آن دو را الزام به صرف نظر کردن از حق خود نمود.</w:t>
      </w:r>
    </w:p>
    <w:p w14:paraId="74447717"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lastRenderedPageBreak/>
        <w:t>در نتيجه لازمه مراعات معروف در معامله با زوجه و نيز لزوم مراعات حق زوج توسط او، اين است که در مورد فردی که به عنوان خادمه برای زوجه تعيين می</w:t>
      </w:r>
      <w:r>
        <w:rPr>
          <w:rFonts w:cs="Abz-2 (Badr)" w:hint="cs"/>
          <w:color w:val="000000" w:themeColor="text1"/>
          <w:sz w:val="28"/>
          <w:szCs w:val="28"/>
          <w:rtl/>
          <w:lang w:bidi="fa-IR"/>
        </w:rPr>
        <w:softHyphen/>
        <w:t>شود، توافق بين زوجين صورت بگيرد و چنانچه توافقی حاصل نشد، می</w:t>
      </w:r>
      <w:r>
        <w:rPr>
          <w:rFonts w:cs="Abz-2 (Badr)" w:hint="cs"/>
          <w:color w:val="000000" w:themeColor="text1"/>
          <w:sz w:val="28"/>
          <w:szCs w:val="28"/>
          <w:rtl/>
          <w:lang w:bidi="fa-IR"/>
        </w:rPr>
        <w:softHyphen/>
        <w:t>توانند برای رفع خصومت به حاکم مراجعه کنند.</w:t>
      </w:r>
    </w:p>
    <w:p w14:paraId="0199B581"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در اين مسأله نيز فرقی نمی</w:t>
      </w:r>
      <w:r>
        <w:rPr>
          <w:rFonts w:cs="Abz-2 (Badr)" w:hint="cs"/>
          <w:color w:val="000000" w:themeColor="text1"/>
          <w:sz w:val="28"/>
          <w:szCs w:val="28"/>
          <w:rtl/>
          <w:lang w:bidi="fa-IR"/>
        </w:rPr>
        <w:softHyphen/>
        <w:t>کند که خادمه</w:t>
      </w:r>
      <w:r>
        <w:rPr>
          <w:rFonts w:cs="Abz-2 (Badr)" w:hint="cs"/>
          <w:color w:val="000000" w:themeColor="text1"/>
          <w:sz w:val="28"/>
          <w:szCs w:val="28"/>
          <w:rtl/>
          <w:lang w:bidi="fa-IR"/>
        </w:rPr>
        <w:softHyphen/>
        <w:t>ای که برای زوجه توسط وی يا زوج در نظر گرفته می</w:t>
      </w:r>
      <w:r>
        <w:rPr>
          <w:rFonts w:cs="Abz-2 (Badr)" w:hint="cs"/>
          <w:color w:val="000000" w:themeColor="text1"/>
          <w:sz w:val="28"/>
          <w:szCs w:val="28"/>
          <w:rtl/>
          <w:lang w:bidi="fa-IR"/>
        </w:rPr>
        <w:softHyphen/>
        <w:t>شود، کسی باشد که از قبل در اختيار او بوده است، يا فردی جديد باشد که بعد از ازدواج برای او در نظر گرفته می</w:t>
      </w:r>
      <w:r>
        <w:rPr>
          <w:rFonts w:cs="Abz-2 (Badr)" w:hint="cs"/>
          <w:color w:val="000000" w:themeColor="text1"/>
          <w:sz w:val="28"/>
          <w:szCs w:val="28"/>
          <w:rtl/>
          <w:lang w:bidi="fa-IR"/>
        </w:rPr>
        <w:softHyphen/>
        <w:t>شود.</w:t>
      </w:r>
    </w:p>
    <w:p w14:paraId="00D4CAFE"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داخل کردن چيزهايی که از نفقه زوجه محسوب نمی</w:t>
      </w:r>
      <w:r>
        <w:rPr>
          <w:rFonts w:cs="Abz-2 (Badr)" w:hint="cs"/>
          <w:color w:val="000000" w:themeColor="text1"/>
          <w:sz w:val="28"/>
          <w:szCs w:val="28"/>
          <w:rtl/>
          <w:lang w:bidi="fa-IR"/>
        </w:rPr>
        <w:softHyphen/>
        <w:t>شوند در ملک زوج، طبعاً منوط بر اذن زوج است، ولو زوجه با مال خود آنها را تهيه کرده باشد.</w:t>
      </w:r>
    </w:p>
    <w:p w14:paraId="7E7C1D6E"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بله، چنانچه عرفاً شأن زوجه اين باشد که در داخل منزل زوج برای نگهداری اموال خود امکاناتی در اختيار او قرار بگيرد، اين مطلب از نفقه واجبه او محسوب می</w:t>
      </w:r>
      <w:r>
        <w:rPr>
          <w:rFonts w:cs="Abz-2 (Badr)" w:hint="cs"/>
          <w:color w:val="000000" w:themeColor="text1"/>
          <w:sz w:val="28"/>
          <w:szCs w:val="28"/>
          <w:rtl/>
          <w:lang w:bidi="fa-IR"/>
        </w:rPr>
        <w:softHyphen/>
        <w:t>شود و زوج حق منع وی را نخواهد داشت.</w:t>
      </w:r>
    </w:p>
    <w:p w14:paraId="7A820246"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همان گونه که اگر شأن زن اقتضاء کند که پدر و مادر يا خويشان خود را به منزل زوج دعوت کند، زوج حق منع وی را نخواهد داشت، زيرا اگرهم اين مطلب را جزء نفقه وی محسوب نکنيم، می</w:t>
      </w:r>
      <w:r>
        <w:rPr>
          <w:rFonts w:cs="Abz-2 (Badr)" w:hint="cs"/>
          <w:color w:val="000000" w:themeColor="text1"/>
          <w:sz w:val="28"/>
          <w:szCs w:val="28"/>
          <w:rtl/>
          <w:lang w:bidi="fa-IR"/>
        </w:rPr>
        <w:softHyphen/>
        <w:t>توان آن را به عنوان شرط ارتکازی ضمن عقد در نظر گرفت. در نتيجه مادامی که زوج در ضمن عقد خلاف آن را شرط نکند، حقی برای ممانعت نخواهد داشت.</w:t>
      </w:r>
    </w:p>
    <w:p w14:paraId="689E2BF1" w14:textId="77777777" w:rsidR="0044129D" w:rsidRDefault="0044129D" w:rsidP="0044129D">
      <w:pPr>
        <w:widowControl w:val="0"/>
        <w:bidi/>
        <w:spacing w:after="0"/>
        <w:ind w:firstLine="284"/>
        <w:jc w:val="both"/>
        <w:rPr>
          <w:rFonts w:cs="Abz-2 (Badr)"/>
          <w:color w:val="0070C0"/>
          <w:sz w:val="28"/>
          <w:szCs w:val="28"/>
          <w:rtl/>
          <w:lang w:bidi="ar"/>
        </w:rPr>
      </w:pPr>
      <w:bookmarkStart w:id="1" w:name="_Hlk216180334"/>
      <w:r>
        <w:rPr>
          <w:rFonts w:cs="Abz-2 (Badr)" w:hint="cs"/>
          <w:color w:val="000000" w:themeColor="text1"/>
          <w:sz w:val="28"/>
          <w:szCs w:val="28"/>
          <w:rtl/>
          <w:lang w:bidi="fa-IR"/>
        </w:rPr>
        <w:t>و اما در خصوص مسکن، شهيد ثانی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لا يشترط في المسكن أن يكون ملكاً له، بل يجوز إسكانها في المستعار والمستأجر اتّفاقاً، لأنّه إمتاع لا تمليك.</w:t>
      </w:r>
    </w:p>
    <w:p w14:paraId="1708A7C7" w14:textId="77777777" w:rsidR="0044129D" w:rsidRDefault="0044129D" w:rsidP="0044129D">
      <w:pPr>
        <w:widowControl w:val="0"/>
        <w:bidi/>
        <w:spacing w:after="0"/>
        <w:ind w:firstLine="284"/>
        <w:jc w:val="both"/>
        <w:rPr>
          <w:rFonts w:cs="Abz-2 (Badr)"/>
          <w:color w:val="0070C0"/>
          <w:sz w:val="28"/>
          <w:szCs w:val="28"/>
          <w:rtl/>
          <w:lang w:bidi="ar"/>
        </w:rPr>
      </w:pPr>
      <w:r>
        <w:rPr>
          <w:rFonts w:cs="Abz-2 (Badr)" w:hint="cs"/>
          <w:color w:val="0070C0"/>
          <w:sz w:val="28"/>
          <w:szCs w:val="28"/>
          <w:rtl/>
          <w:lang w:bidi="ar"/>
        </w:rPr>
        <w:t>ولا يخفى أنّ لها المطالبة بالتفرّد بالمسكن. والمراد به ما يليق بحالها من دار وحجرة وبيت فرد. فالتي يليق بها الدار والحجرة، لا يسكن معها غيرها في دار واحدة بدون رضاها. لكن لو كان في الدار حجرة مفردة المرافق فله أن يسكن فيها. وكذا لو أسكن واحدة في العلوّ وواحدة في السفل والمرافق متميّزة. والتي يليق بها البيوت المفردة، له أن يسكنها في بيت من دار واحدة.</w:t>
      </w:r>
    </w:p>
    <w:p w14:paraId="42192DFF"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70C0"/>
          <w:sz w:val="28"/>
          <w:szCs w:val="28"/>
          <w:rtl/>
          <w:lang w:bidi="ar"/>
        </w:rPr>
        <w:lastRenderedPageBreak/>
        <w:t>ولا يجمع بين الضرّتين ولا بين المرأة وغيرها في بيت واحدة مطلقاً إلا بالرضا.»</w:t>
      </w:r>
      <w:r>
        <w:rPr>
          <w:rFonts w:cs="Abz-2 (Badr)"/>
          <w:color w:val="000000" w:themeColor="text1"/>
          <w:sz w:val="28"/>
          <w:szCs w:val="28"/>
          <w:vertAlign w:val="superscript"/>
          <w:rtl/>
          <w:lang w:bidi="fa-IR"/>
        </w:rPr>
        <w:footnoteReference w:id="2"/>
      </w:r>
    </w:p>
    <w:p w14:paraId="5B066C06" w14:textId="77777777" w:rsidR="0044129D" w:rsidRDefault="0044129D" w:rsidP="0044129D">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lang w:bidi="fa-IR"/>
        </w:rPr>
        <w:t>کاشف اللثام نيز در تعليل برای وجوب فراهم کردن مسکن مستقل برای زوجه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ar"/>
        </w:rPr>
        <w:t xml:space="preserve">«لأنّه من المعاشرة والإمساك بالمعروف، ولفهمه من قوله تعالى: </w:t>
      </w:r>
      <w:r>
        <w:rPr>
          <w:rFonts w:cs="QuranTaha" w:hint="cs"/>
          <w:color w:val="BF8F00" w:themeColor="accent4" w:themeShade="BF"/>
          <w:sz w:val="26"/>
          <w:szCs w:val="26"/>
          <w:rtl/>
          <w:lang w:bidi="ar"/>
        </w:rPr>
        <w:t>«وَلٰا تُضٰارُّوهُنَّ‌ لِتُضَيِّقُوا عَلَيْهِنَّ‌»</w:t>
      </w:r>
      <w:r>
        <w:rPr>
          <w:rFonts w:cs="Abz-2 (Badr)"/>
          <w:color w:val="000000" w:themeColor="text1"/>
          <w:sz w:val="28"/>
          <w:szCs w:val="28"/>
          <w:vertAlign w:val="superscript"/>
          <w:rtl/>
          <w:lang w:bidi="fa-IR"/>
        </w:rPr>
        <w:footnoteReference w:id="3"/>
      </w:r>
      <w:r>
        <w:rPr>
          <w:rFonts w:cs="Abz-2 (Badr)" w:hint="cs"/>
          <w:color w:val="0070C0"/>
          <w:sz w:val="28"/>
          <w:szCs w:val="28"/>
          <w:rtl/>
          <w:lang w:bidi="ar"/>
        </w:rPr>
        <w:t>.»</w:t>
      </w:r>
      <w:r>
        <w:rPr>
          <w:rFonts w:cs="Abz-2 (Badr)"/>
          <w:color w:val="000000" w:themeColor="text1"/>
          <w:sz w:val="28"/>
          <w:szCs w:val="28"/>
          <w:vertAlign w:val="superscript"/>
          <w:rtl/>
          <w:lang w:bidi="fa-IR"/>
        </w:rPr>
        <w:footnoteReference w:id="4"/>
      </w:r>
    </w:p>
    <w:p w14:paraId="206AFA99" w14:textId="77777777" w:rsidR="0044129D" w:rsidRDefault="0044129D" w:rsidP="0044129D">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lang w:bidi="fa-IR"/>
        </w:rPr>
        <w:t>اما صاحب جواهر با اشکال بر اين مطلب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لا يخلو من نظر مع فرض عدم كون عادة أمثالها كذلك، وعدم تضرّر لها به، وإلا وجب من هذه الجهة، لا أنّ ذلك حقّ لها من حيث كونها زوجة، ولعلّ الرجوع فيه إلى الضابط الذي ذكرناه أولى.»</w:t>
      </w:r>
      <w:r>
        <w:rPr>
          <w:rFonts w:cs="Abz-2 (Badr)"/>
          <w:color w:val="000000" w:themeColor="text1"/>
          <w:sz w:val="28"/>
          <w:szCs w:val="28"/>
          <w:vertAlign w:val="superscript"/>
          <w:rtl/>
          <w:lang w:bidi="fa-IR"/>
        </w:rPr>
        <w:footnoteReference w:id="5"/>
      </w:r>
    </w:p>
    <w:p w14:paraId="431C7FF2"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آنچه که در اين مسأله نيز می</w:t>
      </w:r>
      <w:r>
        <w:rPr>
          <w:rFonts w:cs="Abz-2 (Badr)" w:hint="cs"/>
          <w:color w:val="000000" w:themeColor="text1"/>
          <w:sz w:val="28"/>
          <w:szCs w:val="28"/>
          <w:rtl/>
          <w:lang w:bidi="fa-IR"/>
        </w:rPr>
        <w:softHyphen/>
        <w:t>توان به آن ملتزم شد ـ همان گونه که صاحب جواهر نيز فرموده است ـ ملاک عرفی است، به اين معنا که هم در تعيين اين که خانه ملکی بايد يا استيجاری و هم در تعيين اين که کيفيت آن در چه اندازه</w:t>
      </w:r>
      <w:r>
        <w:rPr>
          <w:rFonts w:cs="Abz-2 (Badr)" w:hint="cs"/>
          <w:color w:val="000000" w:themeColor="text1"/>
          <w:sz w:val="28"/>
          <w:szCs w:val="28"/>
          <w:rtl/>
          <w:lang w:bidi="fa-IR"/>
        </w:rPr>
        <w:softHyphen/>
        <w:t>ای باشد و هم در تعيين اين که زوجه در خانه</w:t>
      </w:r>
      <w:r>
        <w:rPr>
          <w:rFonts w:cs="Abz-2 (Badr)" w:hint="cs"/>
          <w:color w:val="000000" w:themeColor="text1"/>
          <w:sz w:val="28"/>
          <w:szCs w:val="28"/>
          <w:rtl/>
          <w:lang w:bidi="fa-IR"/>
        </w:rPr>
        <w:softHyphen/>
        <w:t>ای مستقل باشد يا خير، بايد رعايت شؤونات عرفی زوجه بشود؛ چنانچه عرف مراعات شأن زن را در اين ببيند که خانه</w:t>
      </w:r>
      <w:r>
        <w:rPr>
          <w:rFonts w:cs="Abz-2 (Badr)" w:hint="cs"/>
          <w:color w:val="000000" w:themeColor="text1"/>
          <w:sz w:val="28"/>
          <w:szCs w:val="28"/>
          <w:rtl/>
          <w:lang w:bidi="fa-IR"/>
        </w:rPr>
        <w:softHyphen/>
        <w:t>ای کامل با کيفيتی بالا و مستقل از افراد ديگر و به نحوی که ملک زوج باشد، در اختيار زوجه قرار داده شود، بايد به همين نحو عمل نمود، وگرنه به هر نحوی که عرف آن را مناسب می</w:t>
      </w:r>
      <w:r>
        <w:rPr>
          <w:rFonts w:cs="Abz-2 (Badr)" w:hint="cs"/>
          <w:color w:val="000000" w:themeColor="text1"/>
          <w:sz w:val="28"/>
          <w:szCs w:val="28"/>
          <w:rtl/>
          <w:lang w:bidi="fa-IR"/>
        </w:rPr>
        <w:softHyphen/>
        <w:t>بيند عمل می</w:t>
      </w:r>
      <w:r>
        <w:rPr>
          <w:rFonts w:cs="Abz-2 (Badr)" w:hint="cs"/>
          <w:color w:val="000000" w:themeColor="text1"/>
          <w:sz w:val="28"/>
          <w:szCs w:val="28"/>
          <w:rtl/>
          <w:lang w:bidi="fa-IR"/>
        </w:rPr>
        <w:softHyphen/>
        <w:t>شود.</w:t>
      </w:r>
    </w:p>
    <w:p w14:paraId="376541E1"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پس وجهی وجود ندارد که استقلال زوجه به نحو مطلق شرط در اسکان او قرار داده شود، بلکه اين مطلب بستگی به عرف و عادت و شؤون زوجه دارد. همان گونه که حدود استقلال زوجه در استفاده از منزل نيز توسط عرف تعيين می</w:t>
      </w:r>
      <w:r>
        <w:rPr>
          <w:rFonts w:cs="Abz-2 (Badr)" w:hint="cs"/>
          <w:color w:val="000000" w:themeColor="text1"/>
          <w:sz w:val="28"/>
          <w:szCs w:val="28"/>
          <w:rtl/>
          <w:lang w:bidi="fa-IR"/>
        </w:rPr>
        <w:softHyphen/>
        <w:t>گردد؛ بدين معنا که ممکن است عرف استقلال زوجه را به نحوی لازم ببيند که در منزلی که وی ساکن است، فرد ديگری ولو در اتاق</w:t>
      </w:r>
      <w:r>
        <w:rPr>
          <w:rFonts w:cs="Abz-2 (Badr)" w:hint="cs"/>
          <w:color w:val="000000" w:themeColor="text1"/>
          <w:sz w:val="28"/>
          <w:szCs w:val="28"/>
          <w:rtl/>
          <w:lang w:bidi="fa-IR"/>
        </w:rPr>
        <w:softHyphen/>
        <w:t xml:space="preserve">های ديگر يا طبقات فوقانی يا تحتانی ساکن نگردد، همان گونه که ممکن است وجود يک اتاق </w:t>
      </w:r>
      <w:r>
        <w:rPr>
          <w:rFonts w:cs="Abz-2 (Badr)" w:hint="cs"/>
          <w:color w:val="000000" w:themeColor="text1"/>
          <w:sz w:val="28"/>
          <w:szCs w:val="28"/>
          <w:rtl/>
          <w:lang w:bidi="fa-IR"/>
        </w:rPr>
        <w:lastRenderedPageBreak/>
        <w:t>مستقل را برای وی کافی بداند.</w:t>
      </w:r>
      <w:bookmarkEnd w:id="1"/>
    </w:p>
    <w:p w14:paraId="429D1BD8"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بلکه ممکن است عرف وجود اتاقی را برای زوجه ولو به نحو اشتراکی بين او و زوجه ديگر نيز کافی بداند که در اين صورت وجهی برای الزام زوج به تهيه محلی مستقل برای زوجه وجود نخواهد داشت.</w:t>
      </w:r>
    </w:p>
    <w:p w14:paraId="204215C5" w14:textId="77777777" w:rsidR="0044129D" w:rsidRDefault="0044129D" w:rsidP="0044129D">
      <w:pPr>
        <w:rPr>
          <w:rFonts w:cs="Abz-2 (Badr)"/>
          <w:color w:val="000000" w:themeColor="text1"/>
          <w:sz w:val="28"/>
          <w:szCs w:val="28"/>
          <w:rtl/>
          <w:lang w:bidi="fa-IR"/>
        </w:rPr>
      </w:pPr>
      <w:r>
        <w:rPr>
          <w:rFonts w:cs="Abz-2 (Badr)" w:hint="cs"/>
          <w:color w:val="000000" w:themeColor="text1"/>
          <w:sz w:val="28"/>
          <w:szCs w:val="28"/>
          <w:rtl/>
          <w:lang w:bidi="fa-IR"/>
        </w:rPr>
        <w:br w:type="page"/>
      </w:r>
    </w:p>
    <w:p w14:paraId="2249FA6A" w14:textId="77777777" w:rsidR="0044129D" w:rsidRDefault="0044129D" w:rsidP="0044129D">
      <w:pPr>
        <w:widowControl w:val="0"/>
        <w:bidi/>
        <w:spacing w:after="0" w:line="252" w:lineRule="auto"/>
        <w:ind w:firstLine="284"/>
        <w:jc w:val="both"/>
        <w:rPr>
          <w:rFonts w:cs="Abz-2 (Badr)"/>
          <w:color w:val="0070C0"/>
          <w:sz w:val="28"/>
          <w:szCs w:val="28"/>
          <w:rtl/>
          <w:lang w:bidi="ar"/>
        </w:rPr>
      </w:pPr>
      <w:r>
        <w:rPr>
          <w:rFonts w:cs="Abz-2 (Badr)" w:hint="cs"/>
          <w:color w:val="000000" w:themeColor="text1"/>
          <w:sz w:val="28"/>
          <w:szCs w:val="28"/>
          <w:rtl/>
        </w:rPr>
        <w:lastRenderedPageBreak/>
        <w:t>قد طرح الشهيد الثاني في باب الخادمة جملة من الفروع حيث قال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لو تنازعا في الخادمة التي يستأجرها الزوج لخدمتها أو الجارية التي تخدمها من جواريه، ففي تقديم مرادها أو مراده وجهان، من أنّ الخدمة لها وقد يكون الذي عيّنته أوفق لها وأسرع إلى الامتثال، ومن أنّ الواجب عليه أن يكفيها الخدمة دون أن يكتفي بتلك المعيّنة، كما لا يجوز تكليفه النفقة من طعام معيّن، ولأنّه قد يدخله ريبة وتهمة فيمن تختارها؛ وهذا أصحّ‌.</w:t>
      </w:r>
    </w:p>
    <w:p w14:paraId="0B1871CD" w14:textId="77777777" w:rsidR="0044129D" w:rsidRDefault="0044129D" w:rsidP="0044129D">
      <w:pPr>
        <w:widowControl w:val="0"/>
        <w:bidi/>
        <w:spacing w:after="0" w:line="252" w:lineRule="auto"/>
        <w:ind w:firstLine="284"/>
        <w:jc w:val="both"/>
        <w:rPr>
          <w:rFonts w:cs="Abz-2 (Badr)"/>
          <w:color w:val="0070C0"/>
          <w:sz w:val="28"/>
          <w:szCs w:val="28"/>
          <w:rtl/>
          <w:lang w:bidi="fa-IR"/>
        </w:rPr>
      </w:pPr>
      <w:r>
        <w:rPr>
          <w:rFonts w:cs="Abz-2 (Badr)" w:hint="cs"/>
          <w:color w:val="0070C0"/>
          <w:sz w:val="28"/>
          <w:szCs w:val="28"/>
          <w:rtl/>
          <w:lang w:bidi="ar"/>
        </w:rPr>
        <w:t>هذا في الابتداء. فأمّا إذا توافقا على خادمة وأُلفتها، أو كانت قد حملت خادمة مع نفسها فأراد إبدالها، ففي جوازه وجهان، من تخييره في الإخدام، وعسر قطع المألوف على النفس؛ والأوّل أقوى.</w:t>
      </w:r>
    </w:p>
    <w:p w14:paraId="43D28F47" w14:textId="77777777" w:rsidR="0044129D" w:rsidRDefault="0044129D" w:rsidP="0044129D">
      <w:pPr>
        <w:widowControl w:val="0"/>
        <w:bidi/>
        <w:spacing w:after="0" w:line="252" w:lineRule="auto"/>
        <w:ind w:firstLine="284"/>
        <w:jc w:val="both"/>
        <w:rPr>
          <w:rFonts w:cs="Abz-2 (Badr)"/>
          <w:color w:val="000000" w:themeColor="text1"/>
          <w:sz w:val="28"/>
          <w:szCs w:val="28"/>
          <w:lang w:bidi="fa-IR"/>
        </w:rPr>
      </w:pPr>
      <w:r>
        <w:rPr>
          <w:rFonts w:cs="Abz-2 (Badr)" w:hint="cs"/>
          <w:color w:val="0070C0"/>
          <w:sz w:val="28"/>
          <w:szCs w:val="28"/>
          <w:rtl/>
          <w:lang w:bidi="ar"/>
        </w:rPr>
        <w:t>ولو أرادت استخدام ثانية وثالثة من مالها فللزوج أن لا يرضى بدخولهنّ‌ داره. وكذا لو حملت معها أكثر من واحدة، فله أن يقتصر على واحدة ويخرج الباقيات من داره، كما له أن يكلّفها بإخراج مالها من داره، ومنع أبويها من الدخول عليها، وإخراج ولدها من غيره إذا استصحبته معها.»</w:t>
      </w:r>
      <w:r>
        <w:rPr>
          <w:rFonts w:cs="Abz-2 (Badr)"/>
          <w:color w:val="000000" w:themeColor="text1"/>
          <w:sz w:val="28"/>
          <w:szCs w:val="28"/>
          <w:vertAlign w:val="superscript"/>
          <w:rtl/>
          <w:lang w:bidi="fa-IR"/>
        </w:rPr>
        <w:footnoteReference w:id="6"/>
      </w:r>
    </w:p>
    <w:p w14:paraId="7FCF6D68" w14:textId="77777777" w:rsidR="0044129D" w:rsidRDefault="0044129D" w:rsidP="0044129D">
      <w:pPr>
        <w:widowControl w:val="0"/>
        <w:bidi/>
        <w:spacing w:after="0"/>
        <w:ind w:firstLine="284"/>
        <w:jc w:val="both"/>
        <w:rPr>
          <w:rFonts w:cs="Abz-2 (Badr)"/>
          <w:color w:val="000000" w:themeColor="text1"/>
          <w:sz w:val="28"/>
          <w:szCs w:val="28"/>
          <w:rtl/>
        </w:rPr>
      </w:pPr>
      <w:r>
        <w:rPr>
          <w:rFonts w:cs="Abz-2 (Badr)" w:hint="cs"/>
          <w:color w:val="000000" w:themeColor="text1"/>
          <w:sz w:val="28"/>
          <w:szCs w:val="28"/>
          <w:rtl/>
        </w:rPr>
        <w:t>لكنّ الحقّ هو أنّه في مسألة تعيين الخادمة لابدّ من حصول التوافق بين الزوجين ولا يمكن الحكم بتقدّم حقّ أحدهما على الآخر؛ إذ كما أنّ للزوج حقّ منع شخص ما من الدخول إلى بيته، كذلك للزوجة أن تمتنع عن إسناد شؤونها إلى شخص معيّن، ولا يصحّ إلزام أيّ منهما بالتنازل عن حقّه.</w:t>
      </w:r>
    </w:p>
    <w:p w14:paraId="53A52E15"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rPr>
        <w:t>وعليه فإنّ مقتضى مراعاة المعروف في المعاشرة مع الزوجة وكذلك لزوم مراعاة الزوجة لحقّ الزوج، هو أن يتمّ التوافق بين الزوجين في تعيين من تكون خادمة للزوجة، فإن لم يحصل التوافق أمكن لهما الرجوع إلى الحاكم لرفع الخصومة</w:t>
      </w:r>
      <w:r>
        <w:rPr>
          <w:rFonts w:cs="Abz-2 (Badr)" w:hint="cs"/>
          <w:color w:val="000000" w:themeColor="text1"/>
          <w:sz w:val="28"/>
          <w:szCs w:val="28"/>
          <w:rtl/>
          <w:lang w:bidi="fa-IR"/>
        </w:rPr>
        <w:t>.</w:t>
      </w:r>
    </w:p>
    <w:p w14:paraId="02E5CCD9" w14:textId="77777777" w:rsidR="0044129D" w:rsidRDefault="0044129D" w:rsidP="0044129D">
      <w:pPr>
        <w:widowControl w:val="0"/>
        <w:bidi/>
        <w:spacing w:after="0"/>
        <w:ind w:firstLine="284"/>
        <w:jc w:val="both"/>
        <w:rPr>
          <w:rFonts w:cs="Abz-2 (Badr)"/>
          <w:color w:val="000000" w:themeColor="text1"/>
          <w:sz w:val="28"/>
          <w:szCs w:val="28"/>
          <w:rtl/>
        </w:rPr>
      </w:pPr>
      <w:r>
        <w:rPr>
          <w:rFonts w:cs="Abz-2 (Badr)" w:hint="cs"/>
          <w:color w:val="000000" w:themeColor="text1"/>
          <w:sz w:val="28"/>
          <w:szCs w:val="28"/>
          <w:rtl/>
        </w:rPr>
        <w:t>ولا فرق في هذه المسألة بين أن تكون الخادمة التي تعيّن للزوجة ـ من قبلها أو من قبل الزوج ـ ممّن كانت في خدمتها من قبل، أو شخصاً جديداً يعيّن لها بعد الزواج.</w:t>
      </w:r>
    </w:p>
    <w:p w14:paraId="44F065EA"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rPr>
        <w:t>وأمّا إدخال الأشياء التي لا تعدّ من نفقة الزوجة في ملك الزوج، فهو بطبيعة الحال موقوف على إذن الزوج وإن كانت الزوجة قد أعدّتها من مالها الخاصّ.</w:t>
      </w:r>
    </w:p>
    <w:p w14:paraId="5582ADFB"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rPr>
        <w:t xml:space="preserve">نعم، إذا كان من شأن الزوجة عرفاً أن توفّر لها داخل منزل الزوج وسائل لحفظ أموالها، فإنّ ذلك يعدّ من نفقتها </w:t>
      </w:r>
      <w:r>
        <w:rPr>
          <w:rFonts w:cs="Abz-2 (Badr)" w:hint="cs"/>
          <w:color w:val="000000" w:themeColor="text1"/>
          <w:sz w:val="28"/>
          <w:szCs w:val="28"/>
          <w:rtl/>
        </w:rPr>
        <w:lastRenderedPageBreak/>
        <w:t>الواجبة، ولا يحقّ للزوج منعها من ذلك</w:t>
      </w:r>
      <w:r>
        <w:rPr>
          <w:rFonts w:cs="Abz-2 (Badr)" w:hint="cs"/>
          <w:color w:val="000000" w:themeColor="text1"/>
          <w:sz w:val="28"/>
          <w:szCs w:val="28"/>
          <w:rtl/>
          <w:lang w:bidi="fa-IR"/>
        </w:rPr>
        <w:t>.</w:t>
      </w:r>
    </w:p>
    <w:p w14:paraId="11595D37"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rPr>
        <w:t>وكذلك الحال فيما لو اقتضى شأن المرأة عرفاً أن تدعو والديها أو أقاربها إلى منزل الزوج، فإنّه لا يحقّ للزوج منعها من ذلك؛ إذ لو لم نعدّ هذا الأمر من نفقتها، أمكن اعتباره شرطاً ارتكازيّاً ضمن العقد. وعليه فما لم يشترط الزوج في ضمن العقد خلاف ذلك فلا يكون له حقّ المنع</w:t>
      </w:r>
      <w:r>
        <w:rPr>
          <w:rFonts w:cs="Abz-2 (Badr)" w:hint="cs"/>
          <w:color w:val="000000" w:themeColor="text1"/>
          <w:sz w:val="28"/>
          <w:szCs w:val="28"/>
          <w:rtl/>
          <w:lang w:bidi="fa-IR"/>
        </w:rPr>
        <w:t>.</w:t>
      </w:r>
    </w:p>
    <w:p w14:paraId="2C59B117" w14:textId="77777777" w:rsidR="0044129D" w:rsidRDefault="0044129D" w:rsidP="0044129D">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وأمّا في خصوص السکنی فقال الشهيد الثاني: </w:t>
      </w:r>
      <w:r>
        <w:rPr>
          <w:rFonts w:cs="Abz-2 (Badr)" w:hint="cs"/>
          <w:color w:val="0070C0"/>
          <w:sz w:val="28"/>
          <w:szCs w:val="28"/>
          <w:rtl/>
          <w:lang w:bidi="fa-IR"/>
        </w:rPr>
        <w:t>«</w:t>
      </w:r>
      <w:r>
        <w:rPr>
          <w:rFonts w:cs="Abz-2 (Badr)" w:hint="cs"/>
          <w:color w:val="0070C0"/>
          <w:sz w:val="28"/>
          <w:szCs w:val="28"/>
          <w:rtl/>
          <w:lang w:bidi="ar"/>
        </w:rPr>
        <w:t>لا يشترط في المسكن أن يكون ملكاً له، بل يجوز إسكانها في المستعار والمستأجر اتّفاقاً، لأنّه إمتاع لا تمليك.</w:t>
      </w:r>
    </w:p>
    <w:p w14:paraId="07EB9C58" w14:textId="77777777" w:rsidR="0044129D" w:rsidRDefault="0044129D" w:rsidP="0044129D">
      <w:pPr>
        <w:widowControl w:val="0"/>
        <w:bidi/>
        <w:spacing w:after="0"/>
        <w:ind w:firstLine="284"/>
        <w:jc w:val="both"/>
        <w:rPr>
          <w:rFonts w:cs="Abz-2 (Badr)"/>
          <w:color w:val="0070C0"/>
          <w:sz w:val="28"/>
          <w:szCs w:val="28"/>
          <w:rtl/>
          <w:lang w:bidi="ar"/>
        </w:rPr>
      </w:pPr>
      <w:r>
        <w:rPr>
          <w:rFonts w:cs="Abz-2 (Badr)" w:hint="cs"/>
          <w:color w:val="0070C0"/>
          <w:sz w:val="28"/>
          <w:szCs w:val="28"/>
          <w:rtl/>
          <w:lang w:bidi="ar"/>
        </w:rPr>
        <w:t>ولا يخفى أنّ لها المطالبة بالتفرّد بالمسكن. والمراد به ما يليق بحالها من دار وحجرة وبيت فرد. فالتي يليق بها الدار والحجرة، لا يسكن معها غيرها في دار واحدة بدون رضاها. لكن لو كان في الدار حجرة مفردة المرافق فله أن يسكن فيها. وكذا لو أسكن واحدة في العلوّ وواحدة في السفل والمرافق متميّزة. والتي يليق بها البيوت المفردة، له أن يسكنها في بيت من دار واحدة.</w:t>
      </w:r>
    </w:p>
    <w:p w14:paraId="74D99F67"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70C0"/>
          <w:sz w:val="28"/>
          <w:szCs w:val="28"/>
          <w:rtl/>
          <w:lang w:bidi="ar"/>
        </w:rPr>
        <w:t>ولا يجمع بين الضرّتين ولا بين المرأة وغيرها في بيت واحدة مطلقاً إلا بالرضا.»</w:t>
      </w:r>
      <w:r>
        <w:rPr>
          <w:rFonts w:cs="Abz-2 (Badr)"/>
          <w:color w:val="000000" w:themeColor="text1"/>
          <w:sz w:val="28"/>
          <w:szCs w:val="28"/>
          <w:vertAlign w:val="superscript"/>
          <w:rtl/>
          <w:lang w:bidi="fa-IR"/>
        </w:rPr>
        <w:footnoteReference w:id="7"/>
      </w:r>
    </w:p>
    <w:p w14:paraId="5BC51E8A" w14:textId="77777777" w:rsidR="0044129D" w:rsidRDefault="0044129D" w:rsidP="0044129D">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rPr>
        <w:t>وقال كاشف اللثام أيضاً في التعليل لوجوب توفير مسكن مستقلّ للزوجة</w:t>
      </w:r>
      <w:r>
        <w:rPr>
          <w:rFonts w:cs="Abz-2 (Badr)" w:hint="cs"/>
          <w:color w:val="000000" w:themeColor="text1"/>
          <w:sz w:val="28"/>
          <w:szCs w:val="28"/>
          <w:rtl/>
          <w:lang w:bidi="fa-IR"/>
        </w:rPr>
        <w:t xml:space="preserve">: </w:t>
      </w:r>
      <w:r>
        <w:rPr>
          <w:rFonts w:cs="Abz-2 (Badr)" w:hint="cs"/>
          <w:color w:val="0070C0"/>
          <w:sz w:val="28"/>
          <w:szCs w:val="28"/>
          <w:rtl/>
          <w:lang w:bidi="ar"/>
        </w:rPr>
        <w:t xml:space="preserve">«لأنّه من المعاشرة والإمساك بالمعروف، ولفهمه من قوله تعالى: </w:t>
      </w:r>
      <w:r>
        <w:rPr>
          <w:rFonts w:cs="QuranTaha" w:hint="cs"/>
          <w:color w:val="BF8F00" w:themeColor="accent4" w:themeShade="BF"/>
          <w:sz w:val="26"/>
          <w:szCs w:val="26"/>
          <w:rtl/>
          <w:lang w:bidi="ar"/>
        </w:rPr>
        <w:t>«وَلٰا تُضٰارُّوهُنَّ‌ لِتُضَيِّقُوا عَلَيْهِنَّ‌»</w:t>
      </w:r>
      <w:r>
        <w:rPr>
          <w:rFonts w:cs="Abz-2 (Badr)"/>
          <w:color w:val="000000" w:themeColor="text1"/>
          <w:sz w:val="28"/>
          <w:szCs w:val="28"/>
          <w:vertAlign w:val="superscript"/>
          <w:rtl/>
          <w:lang w:bidi="fa-IR"/>
        </w:rPr>
        <w:footnoteReference w:id="8"/>
      </w:r>
      <w:r>
        <w:rPr>
          <w:rFonts w:cs="Abz-2 (Badr)" w:hint="cs"/>
          <w:color w:val="0070C0"/>
          <w:sz w:val="28"/>
          <w:szCs w:val="28"/>
          <w:rtl/>
          <w:lang w:bidi="ar"/>
        </w:rPr>
        <w:t>.»</w:t>
      </w:r>
      <w:r>
        <w:rPr>
          <w:rFonts w:cs="Abz-2 (Badr)"/>
          <w:color w:val="000000" w:themeColor="text1"/>
          <w:sz w:val="28"/>
          <w:szCs w:val="28"/>
          <w:vertAlign w:val="superscript"/>
          <w:rtl/>
          <w:lang w:bidi="fa-IR"/>
        </w:rPr>
        <w:footnoteReference w:id="9"/>
      </w:r>
    </w:p>
    <w:p w14:paraId="3431722B" w14:textId="77777777" w:rsidR="0044129D" w:rsidRDefault="0044129D" w:rsidP="0044129D">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rPr>
        <w:t>إلا أنّ صاحب الجواهر قال مستشکلاً على هذه الدعوی</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لا يخلو من نظر مع فرض عدم كون عادة أمثالها كذلك، وعدم تضرّر لها به، وإلا وجب من هذه الجهة، لا أنّ ذلك حقّ لها من حيث كونها زوجة، ولعلّ الرجوع فيه إلى الضابط الذي ذكرناه أولى.»</w:t>
      </w:r>
      <w:r>
        <w:rPr>
          <w:rFonts w:cs="Abz-2 (Badr)"/>
          <w:color w:val="000000" w:themeColor="text1"/>
          <w:sz w:val="28"/>
          <w:szCs w:val="28"/>
          <w:vertAlign w:val="superscript"/>
          <w:rtl/>
          <w:lang w:bidi="fa-IR"/>
        </w:rPr>
        <w:footnoteReference w:id="10"/>
      </w:r>
    </w:p>
    <w:p w14:paraId="67F5B3E2"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b/>
          <w:bCs/>
          <w:color w:val="000000" w:themeColor="text1"/>
          <w:sz w:val="28"/>
          <w:szCs w:val="28"/>
          <w:rtl/>
        </w:rPr>
        <w:lastRenderedPageBreak/>
        <w:t>أقول:</w:t>
      </w:r>
      <w:r>
        <w:rPr>
          <w:rFonts w:cs="Abz-2 (Badr)" w:hint="cs"/>
          <w:color w:val="000000" w:themeColor="text1"/>
          <w:sz w:val="28"/>
          <w:szCs w:val="28"/>
          <w:rtl/>
        </w:rPr>
        <w:t xml:space="preserve"> إنّ ما يمكن الالتزام به في هذه المسألة أيضاً ـ كما أفاده صاحب الجواهر ـ هو الرجوع إلى الملاك العرفي؛ بمعنى أنّه لابدّ في تعيين كون المسكن ملكاً للزوج أو مستأجراً أو مستعاراً، وفي تحديد كيفيّته ومقداره، وكذلك في تعيين كون سكنى الزوجة في بيت مستقلّ أو غير مستقلّ، من مراعاة شؤون الزوجة العرفيّة؛ فلو رأى العرف أنّ مراعاة شأن المرأة تقتضي أن يوفّر لها مسكن كامل، عالي الكيفيّة، مستقلّ عن سائر الأشخاص، وعلى نحو يكون ملكاً للزوج، تعيّن العمل على هذا النحو، وإلا فيكتفى بما يراه العرف مناسباً في ذلك.</w:t>
      </w:r>
    </w:p>
    <w:p w14:paraId="5802E441" w14:textId="77777777" w:rsidR="0044129D" w:rsidRDefault="0044129D" w:rsidP="0044129D">
      <w:pPr>
        <w:widowControl w:val="0"/>
        <w:bidi/>
        <w:spacing w:after="0"/>
        <w:ind w:firstLine="284"/>
        <w:jc w:val="both"/>
        <w:rPr>
          <w:rFonts w:cs="Abz-2 (Badr)"/>
          <w:color w:val="000000" w:themeColor="text1"/>
          <w:sz w:val="28"/>
          <w:szCs w:val="28"/>
          <w:rtl/>
        </w:rPr>
      </w:pPr>
      <w:r>
        <w:rPr>
          <w:rFonts w:cs="Abz-2 (Badr)" w:hint="cs"/>
          <w:color w:val="000000" w:themeColor="text1"/>
          <w:sz w:val="28"/>
          <w:szCs w:val="28"/>
          <w:rtl/>
        </w:rPr>
        <w:t>فلا وجه لاشتراط استقلال الزوجة على نحو مطلق في إسكانها، بل إنّ ذلك تابع للعرف والعادة وشؤون الزوجة. وكذلك فإنّ حدود استقلال الزوجة في الانتفاع بالمسكن يحدّدها العرف أيضاً؛ بمعنى أنّ العرف قد يرى لزوم استقلال الزوجة على نحو لا يسكن معها في المنزل شخص آخر ولو في غرف أُخرى أو في الطوابق العلويّة أو السفليّة، كما قد يرى كفاية وجود غرفة مستقلّة لها.</w:t>
      </w:r>
    </w:p>
    <w:p w14:paraId="01FB74D3" w14:textId="77777777" w:rsidR="0044129D" w:rsidRDefault="0044129D" w:rsidP="0044129D">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rPr>
        <w:t>بل قد يرى العرف كفاية وجود غرفة للزوجة ولو على نحو الاشتراك بينها وبين زوجة أُخرى، وفي هذه الصورة لا يكون هناك وجه لإلزام الزوج بتوفير مسكن مستقلّ للزوجة.</w:t>
      </w:r>
    </w:p>
    <w:p w14:paraId="2AD04477" w14:textId="7D63A4A4" w:rsidR="00B706A3" w:rsidRPr="0044129D" w:rsidRDefault="00B706A3" w:rsidP="0044129D">
      <w:pPr>
        <w:rPr>
          <w:rtl/>
        </w:rPr>
      </w:pPr>
    </w:p>
    <w:sectPr w:rsidR="00B706A3" w:rsidRPr="0044129D"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B2805" w14:textId="77777777" w:rsidR="00CF0134" w:rsidRDefault="00CF0134" w:rsidP="00F71127">
      <w:pPr>
        <w:spacing w:after="0" w:line="240" w:lineRule="auto"/>
      </w:pPr>
      <w:r>
        <w:separator/>
      </w:r>
    </w:p>
  </w:endnote>
  <w:endnote w:type="continuationSeparator" w:id="0">
    <w:p w14:paraId="799C2E82" w14:textId="77777777" w:rsidR="00CF0134" w:rsidRDefault="00CF0134"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CC6" w14:textId="77777777" w:rsidR="0044129D" w:rsidRDefault="00441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703" w14:textId="77777777" w:rsidR="0044129D" w:rsidRDefault="00441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6638" w14:textId="77777777" w:rsidR="00CF0134" w:rsidRDefault="00CF0134" w:rsidP="00EE25C0">
      <w:pPr>
        <w:bidi/>
        <w:spacing w:after="0" w:line="240" w:lineRule="auto"/>
      </w:pPr>
      <w:r>
        <w:separator/>
      </w:r>
    </w:p>
  </w:footnote>
  <w:footnote w:type="continuationSeparator" w:id="0">
    <w:p w14:paraId="5C84E6B9" w14:textId="77777777" w:rsidR="00CF0134" w:rsidRDefault="00CF0134" w:rsidP="00F71127">
      <w:pPr>
        <w:bidi/>
        <w:spacing w:after="0" w:line="240" w:lineRule="auto"/>
      </w:pPr>
      <w:r>
        <w:continuationSeparator/>
      </w:r>
    </w:p>
  </w:footnote>
  <w:footnote w:id="1">
    <w:p w14:paraId="26BD62A6"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مسال</w:t>
      </w:r>
      <w:r>
        <w:rPr>
          <w:rFonts w:cs="Abz-2 (Badr)" w:hint="cs"/>
          <w:rtl/>
        </w:rPr>
        <w:t>ك</w:t>
      </w:r>
      <w:r>
        <w:rPr>
          <w:rFonts w:cs="Abz-2 (Badr)" w:hint="cs"/>
          <w:rtl/>
          <w:lang w:bidi="fa-IR"/>
        </w:rPr>
        <w:t>،ج8،ص459.</w:t>
      </w:r>
    </w:p>
  </w:footnote>
  <w:footnote w:id="2">
    <w:p w14:paraId="4A7E4349"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همان،ص460.</w:t>
      </w:r>
    </w:p>
  </w:footnote>
  <w:footnote w:id="3">
    <w:p w14:paraId="68E83536"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طلاق(65):6.</w:t>
      </w:r>
    </w:p>
  </w:footnote>
  <w:footnote w:id="4">
    <w:p w14:paraId="2F4E55D3"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کشف اللثام،ج7،ص576.</w:t>
      </w:r>
    </w:p>
  </w:footnote>
  <w:footnote w:id="5">
    <w:p w14:paraId="6B3F4722"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جواهر،ج31،ص339 و 340.</w:t>
      </w:r>
    </w:p>
  </w:footnote>
  <w:footnote w:id="6">
    <w:p w14:paraId="7598C821"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مسال</w:t>
      </w:r>
      <w:r>
        <w:rPr>
          <w:rFonts w:cs="Abz-2 (Badr)" w:hint="cs"/>
          <w:rtl/>
        </w:rPr>
        <w:t>ك الأفهام</w:t>
      </w:r>
      <w:r>
        <w:rPr>
          <w:rFonts w:cs="Abz-2 (Badr)" w:hint="cs"/>
          <w:rtl/>
          <w:lang w:bidi="fa-IR"/>
        </w:rPr>
        <w:t>،ج8،ص459.</w:t>
      </w:r>
    </w:p>
  </w:footnote>
  <w:footnote w:id="7">
    <w:p w14:paraId="01427FAC"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المصدر نفسه،ص460.</w:t>
      </w:r>
    </w:p>
  </w:footnote>
  <w:footnote w:id="8">
    <w:p w14:paraId="6F288954"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الطلاق(65):6.</w:t>
      </w:r>
    </w:p>
  </w:footnote>
  <w:footnote w:id="9">
    <w:p w14:paraId="01293CEE"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کشف اللثام،ج7،ص576.</w:t>
      </w:r>
    </w:p>
  </w:footnote>
  <w:footnote w:id="10">
    <w:p w14:paraId="26131436" w14:textId="77777777" w:rsidR="0044129D" w:rsidRDefault="0044129D" w:rsidP="0044129D">
      <w:pPr>
        <w:pStyle w:val="FootnoteText"/>
        <w:bidi/>
        <w:rPr>
          <w:rFonts w:cs="Abz-2 (Badr)"/>
          <w:rtl/>
          <w:lang w:bidi="fa-IR"/>
        </w:rPr>
      </w:pPr>
      <w:r>
        <w:rPr>
          <w:rFonts w:cs="Abz-2 (Badr)"/>
          <w:lang w:bidi="fa-IR"/>
        </w:rPr>
        <w:footnoteRef/>
      </w:r>
      <w:r>
        <w:rPr>
          <w:rFonts w:cs="Abz-2 (Badr)" w:hint="cs"/>
          <w:rtl/>
          <w:lang w:bidi="fa-IR"/>
        </w:rPr>
        <w:t> ـ جواهر الکلام،ج31،ص339 و 340.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075" w14:textId="77777777" w:rsidR="0044129D" w:rsidRDefault="0044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462CD7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4129D">
                            <w:rPr>
                              <w:rFonts w:cs="B Mehr" w:hint="cs"/>
                              <w:rtl/>
                              <w:lang w:bidi="fa-IR"/>
                            </w:rPr>
                            <w:t>چهار</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D3026">
                            <w:rPr>
                              <w:rFonts w:cs="B Mehr" w:hint="cs"/>
                              <w:rtl/>
                              <w:lang w:bidi="fa-IR"/>
                            </w:rPr>
                            <w:t>19</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462CD7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4129D">
                      <w:rPr>
                        <w:rFonts w:cs="B Mehr" w:hint="cs"/>
                        <w:rtl/>
                        <w:lang w:bidi="fa-IR"/>
                      </w:rPr>
                      <w:t>چهار</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D3026">
                      <w:rPr>
                        <w:rFonts w:cs="B Mehr" w:hint="cs"/>
                        <w:rtl/>
                        <w:lang w:bidi="fa-IR"/>
                      </w:rPr>
                      <w:t>19</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7EA4" w14:textId="77777777" w:rsidR="0044129D" w:rsidRDefault="00441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026"/>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134"/>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21731</TotalTime>
  <Pages>1</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687</cp:revision>
  <cp:lastPrinted>2025-04-14T09:12:00Z</cp:lastPrinted>
  <dcterms:created xsi:type="dcterms:W3CDTF">2022-10-16T08:36:00Z</dcterms:created>
  <dcterms:modified xsi:type="dcterms:W3CDTF">2025-12-13T08:06:00Z</dcterms:modified>
</cp:coreProperties>
</file>