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FCBC4" w14:textId="77777777" w:rsidR="004F41F9" w:rsidRDefault="004F41F9" w:rsidP="004F41F9">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CD8E2AF" w14:textId="77777777" w:rsidR="004F41F9" w:rsidRDefault="004F41F9" w:rsidP="004F41F9">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277D5487" w14:textId="77777777" w:rsidR="004F41F9" w:rsidRDefault="004F41F9" w:rsidP="004F41F9">
      <w:pPr>
        <w:widowControl w:val="0"/>
        <w:bidi/>
        <w:spacing w:after="240"/>
        <w:jc w:val="center"/>
        <w:rPr>
          <w:rFonts w:cs="B Mitra" w:hint="cs"/>
          <w:b/>
          <w:bCs/>
          <w:sz w:val="32"/>
          <w:szCs w:val="32"/>
          <w:rtl/>
          <w:lang w:bidi="fa-IR"/>
        </w:rPr>
      </w:pPr>
      <w:r>
        <w:rPr>
          <w:rFonts w:cs="B Mitra" w:hint="cs"/>
          <w:b/>
          <w:bCs/>
          <w:sz w:val="32"/>
          <w:szCs w:val="32"/>
          <w:rtl/>
          <w:lang w:bidi="fa-IR"/>
        </w:rPr>
        <w:t>جلسه 982</w:t>
      </w:r>
    </w:p>
    <w:bookmarkEnd w:id="0"/>
    <w:p w14:paraId="0E2089C0" w14:textId="77777777" w:rsidR="004F41F9" w:rsidRDefault="004F41F9" w:rsidP="004F41F9">
      <w:pPr>
        <w:widowControl w:val="0"/>
        <w:bidi/>
        <w:spacing w:before="240" w:line="261" w:lineRule="auto"/>
        <w:ind w:firstLine="289"/>
        <w:jc w:val="both"/>
        <w:rPr>
          <w:rFonts w:cs="2  Mitra" w:hint="cs"/>
          <w:sz w:val="28"/>
          <w:szCs w:val="28"/>
          <w:rtl/>
        </w:rPr>
      </w:pPr>
    </w:p>
    <w:p w14:paraId="115141E7" w14:textId="77777777" w:rsidR="004F41F9" w:rsidRDefault="004F41F9" w:rsidP="004F41F9">
      <w:pPr>
        <w:widowControl w:val="0"/>
        <w:tabs>
          <w:tab w:val="num" w:pos="1440"/>
        </w:tabs>
        <w:bidi/>
        <w:spacing w:before="240"/>
        <w:ind w:firstLine="284"/>
        <w:jc w:val="center"/>
        <w:rPr>
          <w:rFonts w:ascii="Neirizi" w:hAnsi="Neirizi" w:cs="2  Aseman" w:hint="cs"/>
          <w:sz w:val="40"/>
          <w:szCs w:val="40"/>
          <w:rtl/>
          <w:lang w:bidi="fa-IR"/>
        </w:rPr>
      </w:pPr>
      <w:r>
        <w:rPr>
          <w:rFonts w:ascii="Neirizi" w:hAnsi="Neirizi" w:cs="2  Aseman" w:hint="cs"/>
          <w:sz w:val="40"/>
          <w:szCs w:val="40"/>
          <w:rtl/>
          <w:lang w:bidi="fa-IR"/>
        </w:rPr>
        <w:t>امر دوم: حجّيّت عام بعد از ورود خاصّ مجمل</w:t>
      </w:r>
    </w:p>
    <w:p w14:paraId="7559E267" w14:textId="77777777" w:rsidR="004F41F9" w:rsidRDefault="004F41F9" w:rsidP="004F41F9">
      <w:pPr>
        <w:widowControl w:val="0"/>
        <w:bidi/>
        <w:spacing w:before="240"/>
        <w:ind w:firstLine="284"/>
        <w:jc w:val="both"/>
        <w:rPr>
          <w:rFonts w:cs="2  Mitra" w:hint="cs"/>
          <w:color w:val="000000" w:themeColor="text1"/>
          <w:spacing w:val="-2"/>
          <w:sz w:val="28"/>
          <w:szCs w:val="28"/>
          <w:rtl/>
          <w:lang w:bidi="fa-IR"/>
        </w:rPr>
      </w:pPr>
      <w:r>
        <w:rPr>
          <w:rFonts w:cs="2  Mitra" w:hint="cs"/>
          <w:color w:val="000000" w:themeColor="text1"/>
          <w:spacing w:val="-2"/>
          <w:sz w:val="28"/>
          <w:szCs w:val="28"/>
          <w:rtl/>
        </w:rPr>
        <w:t>اگر دلیل خاص دارای اجمال باشد ـ چه اجمال آن مفهومی باشد، مانند دوران امر میان اقل و اکثر یا میان متباینین، و چه مصداقی باشد ـ این پرسش پیش می‌آید که در موارد شک در شمول خاص، آیا می‌توان به عموم عام تمسّک کرد یا خیر؟</w:t>
      </w:r>
    </w:p>
    <w:p w14:paraId="144F7F0F" w14:textId="77777777" w:rsidR="004F41F9" w:rsidRDefault="004F41F9" w:rsidP="004F41F9">
      <w:pPr>
        <w:widowControl w:val="0"/>
        <w:bidi/>
        <w:spacing w:before="240"/>
        <w:ind w:firstLine="284"/>
        <w:jc w:val="both"/>
        <w:rPr>
          <w:rFonts w:cs="2  Mitra"/>
          <w:color w:val="000000" w:themeColor="text1"/>
          <w:sz w:val="28"/>
          <w:szCs w:val="28"/>
        </w:rPr>
      </w:pPr>
      <w:r>
        <w:rPr>
          <w:rFonts w:cs="2  Mitra" w:hint="cs"/>
          <w:color w:val="000000" w:themeColor="text1"/>
          <w:sz w:val="28"/>
          <w:szCs w:val="28"/>
          <w:rtl/>
        </w:rPr>
        <w:t>پیش از ورود به اصل بحث، باید نکته‌ای را روشن ساخت و آن این است که معمولاً میان مخصّص متّصل و مخصّص منفصل تفاوت گذاشته شده و در مخصّص متّصل، ورود خاص، مانع از انعقاد ظهور عام در شمول افراد مشکوک دانسته شده، اما در مخصّص منفصل، ادعا شده است که ورود خاص، ظهور عام را در عموم از بین نمی‌برد.</w:t>
      </w:r>
    </w:p>
    <w:p w14:paraId="48CA1CD1" w14:textId="77777777" w:rsidR="004F41F9" w:rsidRDefault="004F41F9" w:rsidP="004F41F9">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اما این مدعا قابل التزام نیست و همان گونه که در بحث سابق گذشت، فرقی میان مخصص متصل و منفصل از این جهت وجود ندارد.</w:t>
      </w:r>
    </w:p>
    <w:p w14:paraId="0CC06AE0" w14:textId="77777777" w:rsidR="004F41F9" w:rsidRDefault="004F41F9" w:rsidP="004F41F9">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توضیح مطلب آن است که نهایت استدلالی که می‌توان برای تفاوت میان مخصّص متّصل و منفصل اقامه کرد، همان است که در کلمات مرحوم میرزای نائینی آمده است. ایشان در این باره فرموده‌اند: اگر تخصیص به وسیله‌ی مخصّص متّصل صورت گیرد، هرچند لفظ عام از حیث دلالت تصوّری بر تمام معنای خود دلالت دارد، امّا اتصال مخصّص به آن سبب می‌شود که دلالت تصدیقی از آغاز، تنها به غیر موارد تخصیص تعلق گیرد؛ چنان‌که در جمله‌ی «</w:t>
      </w:r>
      <w:r>
        <w:rPr>
          <w:rFonts w:cs="Abz-2 (Badr)" w:hint="cs"/>
          <w:color w:val="000000" w:themeColor="text1"/>
          <w:sz w:val="28"/>
          <w:szCs w:val="28"/>
          <w:rtl/>
        </w:rPr>
        <w:t>أكرم العلماء إلا فسّاقهم</w:t>
      </w:r>
      <w:r>
        <w:rPr>
          <w:rFonts w:cs="2  Mitra" w:hint="cs"/>
          <w:color w:val="000000" w:themeColor="text1"/>
          <w:sz w:val="28"/>
          <w:szCs w:val="28"/>
          <w:rtl/>
        </w:rPr>
        <w:t>» مراد مولا از ابتدا، وجوب اکرام علماى غیر فاسق است.</w:t>
      </w:r>
    </w:p>
    <w:p w14:paraId="4CD0CAE5" w14:textId="77777777" w:rsidR="004F41F9" w:rsidRDefault="004F41F9" w:rsidP="004F41F9">
      <w:pPr>
        <w:widowControl w:val="0"/>
        <w:bidi/>
        <w:spacing w:before="240" w:line="252" w:lineRule="auto"/>
        <w:ind w:firstLine="284"/>
        <w:jc w:val="both"/>
        <w:rPr>
          <w:rFonts w:cs="2  Mitra"/>
          <w:color w:val="000000" w:themeColor="text1"/>
          <w:sz w:val="28"/>
          <w:szCs w:val="28"/>
        </w:rPr>
      </w:pPr>
      <w:r>
        <w:rPr>
          <w:rFonts w:cs="2  Mitra" w:hint="cs"/>
          <w:color w:val="000000" w:themeColor="text1"/>
          <w:sz w:val="28"/>
          <w:szCs w:val="28"/>
          <w:rtl/>
        </w:rPr>
        <w:t xml:space="preserve">امّا اگر تخصیص به واسطه‌ی مخصّص منفصل باشد، ظهوری که عام در ظرف خود یافته است، با آمدن مخصّص از میان نمی‌رود؛ زیرا چیزی که تحقق یافته، دگرگون نمی‌شود. غایت امر آن است که با ورود مخصّص، گستره و مدت کاشفیت عام از اراده‌ی عموم پایان می‌پذیرد؛ چرا که ورود مخصّص به‌طور قطع کشف می‌کند که ظاهر کلام در مقام بیان، مراد واقعی </w:t>
      </w:r>
      <w:r>
        <w:rPr>
          <w:rFonts w:cs="2  Mitra" w:hint="cs"/>
          <w:color w:val="000000" w:themeColor="text1"/>
          <w:sz w:val="28"/>
          <w:szCs w:val="28"/>
          <w:rtl/>
        </w:rPr>
        <w:lastRenderedPageBreak/>
        <w:t>نبوده و حکم در حقیقت تنها به غیر موارد تخصیص اختصاص دارد.</w:t>
      </w:r>
      <w:r>
        <w:rPr>
          <w:rStyle w:val="FootnoteReference"/>
          <w:rFonts w:cs="2  Mitra"/>
          <w:sz w:val="28"/>
          <w:szCs w:val="28"/>
          <w:rtl/>
        </w:rPr>
        <w:footnoteReference w:id="2"/>
      </w:r>
    </w:p>
    <w:p w14:paraId="0104A3E3" w14:textId="77777777" w:rsidR="004F41F9" w:rsidRDefault="004F41F9" w:rsidP="004F41F9">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اشکال این مدعا آن است که ـ همان‌گونه که پیش‌تر بیان شد ـ ورود مخصّص صرفاً در حکم قرینه‌ای برای تعیین مراد جدی متکلّم است، نه این که سبب گردد مراد استعمالی او از لفظ عام به چیزی غیر از معنای موضوع‌له آن تفسیر شود. بنابر این چه در موارد تخصیص به مخصّص منفصل و چه در موارد تخصیص به مخصّص متصل، نقش مخصّص تنها روشن ساختن مدلول تصدیقی ثانی کلام برای مخاطب است، هرچند قرینیت مخصّص متّصل برای اين امر، آشکارتر است.</w:t>
      </w:r>
    </w:p>
    <w:p w14:paraId="2A0FF623" w14:textId="77777777" w:rsidR="004F41F9" w:rsidRDefault="004F41F9" w:rsidP="004F41F9">
      <w:pPr>
        <w:widowControl w:val="0"/>
        <w:bidi/>
        <w:spacing w:before="240" w:line="252" w:lineRule="auto"/>
        <w:ind w:firstLine="284"/>
        <w:jc w:val="both"/>
        <w:rPr>
          <w:rFonts w:cs="2  Mitra"/>
          <w:color w:val="000000" w:themeColor="text1"/>
          <w:sz w:val="28"/>
          <w:szCs w:val="28"/>
        </w:rPr>
      </w:pPr>
      <w:r>
        <w:rPr>
          <w:rFonts w:cs="2  Mitra" w:hint="cs"/>
          <w:color w:val="000000" w:themeColor="text1"/>
          <w:sz w:val="28"/>
          <w:szCs w:val="28"/>
          <w:rtl/>
        </w:rPr>
        <w:t>از این رو این که گفته می</w:t>
      </w:r>
      <w:r>
        <w:rPr>
          <w:rFonts w:cs="2  Mitra" w:hint="cs"/>
          <w:color w:val="000000" w:themeColor="text1"/>
          <w:sz w:val="28"/>
          <w:szCs w:val="28"/>
          <w:rtl/>
        </w:rPr>
        <w:softHyphen/>
        <w:t>شود: «مخصّص منفصل مانع از ظهور کلام در عموم نیست، اما مخصّص متصل مانع از آن است» معنای روشنی ندارد، زیرا اگر مقصود از «ظهور کلام» مدلول تصدیقی اول آن باشد، هیچ یک از دو نوع مخصّص تأثیری در آن ندارند. اما اگر مراد مدلول تصدیقی ثانی آن باشد، هر دو مخصّص در مقام تعیین آن بر خلاف ظاهر کلام، دخالت دارند.</w:t>
      </w:r>
    </w:p>
    <w:p w14:paraId="416258CF" w14:textId="77777777" w:rsidR="004F41F9" w:rsidRDefault="004F41F9" w:rsidP="004F41F9">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در واقع ـ همان گونه که از ظاهر کلام مرحوم میرزای نائینی برداشت می</w:t>
      </w:r>
      <w:r>
        <w:rPr>
          <w:rFonts w:cs="2  Mitra" w:hint="cs"/>
          <w:color w:val="000000" w:themeColor="text1"/>
          <w:sz w:val="28"/>
          <w:szCs w:val="28"/>
          <w:rtl/>
        </w:rPr>
        <w:softHyphen/>
        <w:t>شود و مرحوم امام نیز به آن تصریح کرده</w:t>
      </w:r>
      <w:r>
        <w:rPr>
          <w:rFonts w:cs="2  Mitra" w:hint="cs"/>
          <w:color w:val="000000" w:themeColor="text1"/>
          <w:sz w:val="28"/>
          <w:szCs w:val="28"/>
          <w:rtl/>
        </w:rPr>
        <w:softHyphen/>
        <w:t>اند</w:t>
      </w:r>
      <w:r>
        <w:rPr>
          <w:rStyle w:val="FootnoteReference"/>
          <w:rFonts w:cs="2  Mitra"/>
          <w:sz w:val="28"/>
          <w:szCs w:val="28"/>
          <w:rtl/>
        </w:rPr>
        <w:footnoteReference w:id="3"/>
      </w:r>
      <w:r>
        <w:rPr>
          <w:rFonts w:cs="2  Mitra" w:hint="cs"/>
          <w:color w:val="000000" w:themeColor="text1"/>
          <w:sz w:val="28"/>
          <w:szCs w:val="28"/>
          <w:rtl/>
        </w:rPr>
        <w:t xml:space="preserve"> ـ بازگشت ادعای مذکور به آن است که مخصّص متّصل، در حکم قید مدخول ادات عموم است، به گونه‌ای که مثلاً جمله: «</w:t>
      </w:r>
      <w:r>
        <w:rPr>
          <w:rFonts w:cs="Abz-2 (Badr)" w:hint="cs"/>
          <w:color w:val="000000" w:themeColor="text1"/>
          <w:sz w:val="28"/>
          <w:szCs w:val="28"/>
          <w:rtl/>
        </w:rPr>
        <w:t>أکرم العلماء إلا الفسّاق منهم</w:t>
      </w:r>
      <w:r>
        <w:rPr>
          <w:rFonts w:cs="2  Mitra" w:hint="cs"/>
          <w:color w:val="000000" w:themeColor="text1"/>
          <w:sz w:val="28"/>
          <w:szCs w:val="28"/>
          <w:rtl/>
        </w:rPr>
        <w:t>» معادل است با «</w:t>
      </w:r>
      <w:r>
        <w:rPr>
          <w:rFonts w:cs="Abz-2 (Badr)" w:hint="cs"/>
          <w:color w:val="000000" w:themeColor="text1"/>
          <w:sz w:val="28"/>
          <w:szCs w:val="28"/>
          <w:rtl/>
        </w:rPr>
        <w:t>أکرم العلماء غير الفسّاق</w:t>
      </w:r>
      <w:r>
        <w:rPr>
          <w:rFonts w:cs="2  Mitra" w:hint="cs"/>
          <w:color w:val="000000" w:themeColor="text1"/>
          <w:sz w:val="28"/>
          <w:szCs w:val="28"/>
          <w:rtl/>
        </w:rPr>
        <w:t>»، و در نتیجه از همان آغاز، گستره افراد مدخول ادات عموم به وسیله مخصّص متّصل تضییق می‌شود. در مقابل، در مخصّص منفصل، ذکر مخصّص موجب تقیید مدخول ادات عموم نیست و دایره شمول آن را تغییر نمی‌دهد.</w:t>
      </w:r>
    </w:p>
    <w:p w14:paraId="74F5D619" w14:textId="77777777" w:rsidR="004F41F9" w:rsidRDefault="004F41F9" w:rsidP="004F41F9">
      <w:pPr>
        <w:widowControl w:val="0"/>
        <w:bidi/>
        <w:spacing w:before="240" w:line="252" w:lineRule="auto"/>
        <w:ind w:firstLine="284"/>
        <w:jc w:val="both"/>
        <w:rPr>
          <w:rFonts w:cs="2  Mitra"/>
          <w:color w:val="000000" w:themeColor="text1"/>
          <w:sz w:val="28"/>
          <w:szCs w:val="28"/>
        </w:rPr>
      </w:pPr>
      <w:r>
        <w:rPr>
          <w:rFonts w:cs="2  Mitra" w:hint="cs"/>
          <w:color w:val="000000" w:themeColor="text1"/>
          <w:sz w:val="28"/>
          <w:szCs w:val="28"/>
          <w:rtl/>
        </w:rPr>
        <w:t>امّا اشکال این بیان آن است که مبتنی بر این پیش فرض است که ادات عموم، تنها مفید شمول نسبت به آن چيزی هستند که از مدخول آنها اراده شده است، به این معنا که افاده عموم از سوی آنها منوط بر عدم ورود قید برای مدخول و تمامیت مقدمات حکمت است. بر این مبنا می‌توان ادعا کرد که مخصّص متّصل، قیدی است که سبب تقیید مدخول ادات عموم می‌شود.</w:t>
      </w:r>
    </w:p>
    <w:p w14:paraId="16237DF6" w14:textId="77777777" w:rsidR="004F41F9" w:rsidRDefault="004F41F9" w:rsidP="004F41F9">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در حالی که اولاً: اشکال این مبنا پیش‌تر گذشت و روشن شد که کارکرد ادات عموم، تعمیم مدخول بر همه افراد آن است، بی آن که این تعمیم، وابسته به جریان مقدمات حکمت باشد.</w:t>
      </w:r>
    </w:p>
    <w:p w14:paraId="6AA40A06" w14:textId="77777777" w:rsidR="004F41F9" w:rsidRDefault="004F41F9" w:rsidP="004F41F9">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lastRenderedPageBreak/>
        <w:t>ثانياً: حتی اگر این مبنا را بپذیریم، باز هم تفاوتی میان قید متّصل و منفصل نخواهد بود، زیرا در عدم امکان اخذ به اطلاق، فرقی بین ورود قید به نحو متصل و منفصل وجود ندارد.</w:t>
      </w:r>
    </w:p>
    <w:p w14:paraId="32218935" w14:textId="77777777" w:rsidR="004F41F9" w:rsidRDefault="004F41F9" w:rsidP="004F41F9">
      <w:pPr>
        <w:widowControl w:val="0"/>
        <w:bidi/>
        <w:spacing w:before="240" w:line="252" w:lineRule="auto"/>
        <w:ind w:firstLine="284"/>
        <w:jc w:val="both"/>
        <w:rPr>
          <w:rFonts w:cs="2  Mitra" w:hint="cs"/>
          <w:color w:val="000000" w:themeColor="text1"/>
          <w:sz w:val="28"/>
          <w:szCs w:val="28"/>
          <w:rtl/>
        </w:rPr>
      </w:pPr>
      <w:r>
        <w:rPr>
          <w:rFonts w:cs="2  Mitra" w:hint="cs"/>
          <w:color w:val="000000" w:themeColor="text1"/>
          <w:sz w:val="28"/>
          <w:szCs w:val="28"/>
          <w:rtl/>
        </w:rPr>
        <w:t>اما مرحوم شهيد صدر تلاشی در تبيين مدعای مرحوم ميرزای نائینی کرده است که جلسه آينده آن را مطرح خواهيم کرد ان شاء الله.</w:t>
      </w:r>
    </w:p>
    <w:p w14:paraId="4B9987DA" w14:textId="77777777" w:rsidR="004F41F9" w:rsidRDefault="004F41F9" w:rsidP="004F41F9">
      <w:pPr>
        <w:tabs>
          <w:tab w:val="right" w:pos="9972"/>
        </w:tabs>
        <w:jc w:val="right"/>
        <w:rPr>
          <w:rFonts w:cs="2  Mitra" w:hint="cs"/>
          <w:color w:val="000000" w:themeColor="text1"/>
          <w:sz w:val="28"/>
          <w:szCs w:val="28"/>
          <w:rtl/>
        </w:rPr>
      </w:pPr>
    </w:p>
    <w:p w14:paraId="5BFD889D" w14:textId="77777777" w:rsidR="004F41F9" w:rsidRDefault="004F41F9" w:rsidP="004F41F9">
      <w:pPr>
        <w:tabs>
          <w:tab w:val="right" w:pos="9972"/>
        </w:tabs>
        <w:rPr>
          <w:rFonts w:cs="2  Mitra" w:hint="cs"/>
          <w:color w:val="000000" w:themeColor="text1"/>
          <w:sz w:val="28"/>
          <w:szCs w:val="28"/>
          <w:rtl/>
        </w:rPr>
      </w:pPr>
      <w:r>
        <w:rPr>
          <w:rFonts w:cs="2  Mitra" w:hint="cs"/>
          <w:sz w:val="28"/>
          <w:szCs w:val="28"/>
          <w:rtl/>
        </w:rPr>
        <w:br w:type="page"/>
      </w:r>
      <w:r>
        <w:rPr>
          <w:rFonts w:cs="2  Mitra" w:hint="cs"/>
          <w:color w:val="000000" w:themeColor="text1"/>
          <w:sz w:val="28"/>
          <w:szCs w:val="28"/>
          <w:rtl/>
        </w:rPr>
        <w:lastRenderedPageBreak/>
        <w:tab/>
      </w:r>
    </w:p>
    <w:p w14:paraId="286EE7BF" w14:textId="77777777" w:rsidR="004F41F9" w:rsidRDefault="004F41F9" w:rsidP="004F41F9">
      <w:pPr>
        <w:widowControl w:val="0"/>
        <w:bidi/>
        <w:spacing w:after="360"/>
        <w:ind w:firstLine="284"/>
        <w:jc w:val="center"/>
        <w:rPr>
          <w:rFonts w:cs="Abz-2 (Badr)" w:hint="cs"/>
          <w:color w:val="000000" w:themeColor="text1"/>
          <w:sz w:val="28"/>
          <w:szCs w:val="28"/>
          <w:rtl/>
        </w:rPr>
      </w:pPr>
      <w:r>
        <w:rPr>
          <w:rFonts w:cs="Abz-2 (Badr)" w:hint="cs"/>
          <w:b/>
          <w:bCs/>
          <w:color w:val="000000" w:themeColor="text1"/>
          <w:sz w:val="28"/>
          <w:szCs w:val="28"/>
          <w:rtl/>
        </w:rPr>
        <w:t>الأمر الثاني: حجّيّة العامّ بعد ورود الخاصّ المجمل</w:t>
      </w:r>
    </w:p>
    <w:p w14:paraId="41BD55C4" w14:textId="77777777" w:rsidR="004F41F9" w:rsidRDefault="004F41F9" w:rsidP="004F41F9">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إذا كان الخاصّ مجملاً ـ سواءً كان إجماله مفهوميّاً، كدوران الأمر بين الأقلّ والأكثر أو بين المتباينين، أم مصداقيّاً ـ فهل يمكن التمسّك بعموم العامّ في موارد يشكّ في شمول الخاصّ لها أم لا؟</w:t>
      </w:r>
    </w:p>
    <w:p w14:paraId="17900FB4" w14:textId="77777777" w:rsidR="004F41F9" w:rsidRDefault="004F41F9" w:rsidP="004F41F9">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وقبل الخوض في أصل البحث، ينبغي التعرّض لنكتة وهي أنّه قد اشتهر بين الأُصوليّين التفريق بين المخصّص المتّصل والمخصّص المنفصل؛ فادّعي في المخصّص المتّصل أنّ ورود الخاصّ يمنع من انعقاد ظهور العامّ في شمول الأفراد المشكوك انطباق الخاصّ عليهم، أمّا في المخصّص المنفصل، فقد قيل بأنّ ورود الخاصّ لا يسلب العامّ ظهوره في العموم.</w:t>
      </w:r>
    </w:p>
    <w:p w14:paraId="0CB73B85" w14:textId="77777777" w:rsidR="004F41F9" w:rsidRDefault="004F41F9" w:rsidP="004F41F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ولكن هذا الادّعاء غير قابل للالتزام، ولا فرق بين المخصّص المتّصل والمنفصل من هذه الجهة كما تقدّم في البحث السابق.</w:t>
      </w:r>
    </w:p>
    <w:p w14:paraId="6C730999" w14:textId="77777777" w:rsidR="004F41F9" w:rsidRDefault="004F41F9" w:rsidP="004F41F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توضيح المطلب: أنّ أقصى ما يمكن الاستدلال به لإثبات الفرق بين المخصّص المتّصل والمخصّص المنفصل هو ما ورد في كلمات الميرزا النائيني؛ فإنّه قال في هذا الخصوص: إذا كان التخصيص بالمخصّص المتّصل، فمع أنّ لفظ العامّ يدلّ دلالة تصوّريّة على تمام معناه، إلّا أنّ اتصال المخصّص به يوجب أن تكون الدلالة التصديقيّة من أوّل الأمر منصرفة إلى ما عدا موارد التخصيص؛</w:t>
      </w:r>
      <w:r>
        <w:rPr>
          <w:rFonts w:cs="Abz-2 (Badr)"/>
          <w:color w:val="000000" w:themeColor="text1"/>
          <w:sz w:val="28"/>
          <w:szCs w:val="28"/>
        </w:rPr>
        <w:br/>
      </w:r>
      <w:r>
        <w:rPr>
          <w:rFonts w:cs="Abz-2 (Badr)" w:hint="cs"/>
          <w:color w:val="000000" w:themeColor="text1"/>
          <w:sz w:val="28"/>
          <w:szCs w:val="28"/>
          <w:rtl/>
        </w:rPr>
        <w:t>كما في قول المولى: «أكرم العلماء إلّا فسّاقهم»، فإنّ مراده من البداية هو وجوب إكرام العلماء غير الفسّاق.</w:t>
      </w:r>
    </w:p>
    <w:p w14:paraId="144419D6" w14:textId="77777777" w:rsidR="004F41F9" w:rsidRDefault="004F41F9" w:rsidP="004F41F9">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وأمّا إذا كان التخصيص بالمخصّص المنفصل، فإنّ الظهور الذي ينعقد للعامّ في ظرفه لا يرتفع بورود المخصّص؛ لأنّ الشيء المتحقّق لا يزول. غاية ما في الأمر أنّ ورود المخصّص يكشف حيئنذٍ عن أنّ الظهور الذي كان للعامّ في مقام البيان، ليس هو المراد الواقعي، وأنّ الحكم في الحقيقة مختصّ بغير موارد التخصيص، وتنتهي بذلك مدّة كاشفيّة العامّ عن إرادة العموم.</w:t>
      </w:r>
      <w:r>
        <w:rPr>
          <w:rStyle w:val="FootnoteReference"/>
          <w:rFonts w:cs="Abz-2 (Badr)"/>
          <w:sz w:val="28"/>
          <w:szCs w:val="28"/>
          <w:rtl/>
        </w:rPr>
        <w:footnoteReference w:id="4"/>
      </w:r>
    </w:p>
    <w:p w14:paraId="139FE5E9" w14:textId="77777777" w:rsidR="004F41F9" w:rsidRDefault="004F41F9" w:rsidP="004F41F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 xml:space="preserve">ولکن فيه: أنّ ورود المخصّص ـ كما تقدّم ـ ليس إلّا بمنزلة القرينة على تعيين المراد الجدّي للمتكلّم، لا أنّه يقتضي </w:t>
      </w:r>
      <w:r>
        <w:rPr>
          <w:rFonts w:cs="Abz-2 (Badr)" w:hint="cs"/>
          <w:color w:val="000000" w:themeColor="text1"/>
          <w:sz w:val="28"/>
          <w:szCs w:val="28"/>
          <w:rtl/>
        </w:rPr>
        <w:lastRenderedPageBreak/>
        <w:t>تفسير مراده الاستعمالي من لفظ العامّ بغير معناه الموضوع له.</w:t>
      </w:r>
    </w:p>
    <w:p w14:paraId="7843D3D6" w14:textId="77777777" w:rsidR="004F41F9" w:rsidRDefault="004F41F9" w:rsidP="004F41F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فالأمر في موارد التخصيص بالمخصّص المنفصل كما هو في موارد التخصيص بالمخصِّص المتّصل، ويكون دور المخصّص مجرّد إيضاح المدلول التصديقي الثاني للكلام عند المخاطب، وإن كانت قرينيّة المخصّص المتّصل في ذلك أظهر وأقوى.</w:t>
      </w:r>
    </w:p>
    <w:p w14:paraId="5D22C1C9" w14:textId="77777777" w:rsidR="004F41F9" w:rsidRDefault="004F41F9" w:rsidP="004F41F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ومن ثمّ فإنّ القول بأنّ «المخصّص المنفصل لا يمنع من ظهور الكلام في العموم، بخلاف المخصّص المتّصل» قول لا معنى محصّل له؛ لأنّه إن أُريد بـ «ظهور الكلام» مدلول اللفظ التصديقي الأوّل، فالمخصّصان ـ المتّصل والمنفصل ـ لا أثر لهما فيه أصلاً. وإن أُريد به المدلول التصديقي الثاني، فكلّ منهما يتدخّل في تعيينه على خلاف ظاهر الكلام.</w:t>
      </w:r>
    </w:p>
    <w:p w14:paraId="19711E67" w14:textId="77777777" w:rsidR="004F41F9" w:rsidRDefault="004F41F9" w:rsidP="004F41F9">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فإنّ مرجع الدعوی المذکورة في الواقع ـ كما يستفاد من ظاهر كلام الميرزا النائيني وقد صرّح به السيّد الخميني</w:t>
      </w:r>
      <w:r>
        <w:rPr>
          <w:rStyle w:val="FootnoteReference"/>
          <w:rFonts w:cs="Abz-2 (Badr)"/>
          <w:sz w:val="28"/>
          <w:szCs w:val="28"/>
          <w:rtl/>
        </w:rPr>
        <w:footnoteReference w:id="5"/>
      </w:r>
      <w:r>
        <w:rPr>
          <w:rFonts w:cs="2  Mitra" w:hint="cs"/>
          <w:color w:val="000000" w:themeColor="text1"/>
          <w:sz w:val="28"/>
          <w:szCs w:val="28"/>
          <w:rtl/>
        </w:rPr>
        <w:t xml:space="preserve"> </w:t>
      </w:r>
      <w:r>
        <w:rPr>
          <w:rFonts w:cs="Abz-2 (Badr)" w:hint="cs"/>
          <w:color w:val="000000" w:themeColor="text1"/>
          <w:sz w:val="28"/>
          <w:szCs w:val="28"/>
          <w:rtl/>
        </w:rPr>
        <w:t>أيضاً ـ إلى أنّ المخصّص المتّصل بمنزلة القيد لمدخول أدوات العموم، بحيث تكون جملة: «أكرم العلماء إلّا الفسّاق منهم» معادلة لقوله: «أكرم العلماء غير الفسّاق»، فتضيّق دائرة أفراد مدخول أدوات العموم من الأوّل بالمخصّص المتّصل. وأمّا في المخصّص المنفصل، فإنّ ذكر المخصّص لا يوجب تقييد مدخول أدوات العموم ولا يغيّر دائرة شموله.</w:t>
      </w:r>
    </w:p>
    <w:p w14:paraId="23A81BDA" w14:textId="77777777" w:rsidR="004F41F9" w:rsidRDefault="004F41F9" w:rsidP="004F41F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ولكنّ الإشكال على هذا البيان أنّه مبنيّ على افتراض مسبق، وهو أنّ أدوات العموم لا تفيد الشمول إلّا بالنسبة إلى ما أُريد من مدخولها، بمعنى أنّ إفادة العموم من قبلها متوقّفة على عدم ورود قيد على المدخول وتماميّة مقدّمات الحكمة. ووفقاً لهذا المبنى يمكن الادّعاء بأنّ المخصّص المتّصل قيد يوجب تقييد مدخول أدوات العموم.</w:t>
      </w:r>
    </w:p>
    <w:p w14:paraId="03414A26" w14:textId="77777777" w:rsidR="004F41F9" w:rsidRDefault="004F41F9" w:rsidP="004F41F9">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إلّا أنّ فيه أوّلاً: أنّه قد تقدّم الإشكال علی هذا المبنی وقد تبيّن أنّ وظيفة أدوات العموم هي تعميم المدخول لجميع أفراده، من غير توقّفٍ لهذا التعميم على تماميّة مقدّمات الحكمة.</w:t>
      </w:r>
    </w:p>
    <w:p w14:paraId="7AC64002" w14:textId="77777777" w:rsidR="004F41F9" w:rsidRDefault="004F41F9" w:rsidP="004F41F9">
      <w:pPr>
        <w:widowControl w:val="0"/>
        <w:bidi/>
        <w:spacing w:after="0"/>
        <w:ind w:firstLine="284"/>
        <w:jc w:val="both"/>
        <w:rPr>
          <w:rFonts w:cs="Abz-2 (Badr)"/>
          <w:color w:val="000000" w:themeColor="text1"/>
          <w:sz w:val="28"/>
          <w:szCs w:val="28"/>
        </w:rPr>
      </w:pPr>
      <w:r>
        <w:rPr>
          <w:rFonts w:cs="Abz-2 (Badr)" w:hint="cs"/>
          <w:color w:val="000000" w:themeColor="text1"/>
          <w:sz w:val="28"/>
          <w:szCs w:val="28"/>
          <w:rtl/>
        </w:rPr>
        <w:t>وثانياً: حتّى لو سلّمنا بهذا المبنى، فلا فرق أيضاً بين القيد المتّصل والمنفصل؛ لأنّه في عدم إمكان التمسّك بالإطلاق، لا يختلف الحال بين ورود القيد متّصلاً أو منفصلاً.</w:t>
      </w:r>
    </w:p>
    <w:p w14:paraId="22929361" w14:textId="77777777" w:rsidR="004F41F9" w:rsidRDefault="004F41F9" w:rsidP="004F41F9">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وقد حاول الشهيد الصدر في بيان مرام الميرزا النائيني، وسنطرح ذلك في الجلسة القادمة إن شاء الله.</w:t>
      </w:r>
    </w:p>
    <w:p w14:paraId="6C2CA403" w14:textId="77777777" w:rsidR="004F41F9" w:rsidRDefault="004F41F9" w:rsidP="004F41F9">
      <w:pPr>
        <w:widowControl w:val="0"/>
        <w:bidi/>
        <w:spacing w:after="0"/>
        <w:ind w:firstLine="284"/>
        <w:jc w:val="both"/>
        <w:rPr>
          <w:rFonts w:cs="Abz-2 (Badr)"/>
          <w:color w:val="000000" w:themeColor="text1"/>
          <w:sz w:val="28"/>
          <w:szCs w:val="28"/>
        </w:rPr>
      </w:pPr>
    </w:p>
    <w:p w14:paraId="7D9979DE" w14:textId="26D41A3F" w:rsidR="001B24FC" w:rsidRPr="004F41F9" w:rsidRDefault="001B24FC" w:rsidP="004F41F9">
      <w:pPr>
        <w:rPr>
          <w:rtl/>
        </w:rPr>
      </w:pPr>
    </w:p>
    <w:sectPr w:rsidR="001B24FC" w:rsidRPr="004F41F9"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438C" w14:textId="77777777" w:rsidR="005A3D1A" w:rsidRDefault="005A3D1A" w:rsidP="00C336C5">
      <w:pPr>
        <w:spacing w:after="0" w:line="240" w:lineRule="auto"/>
      </w:pPr>
      <w:r>
        <w:separator/>
      </w:r>
    </w:p>
  </w:endnote>
  <w:endnote w:type="continuationSeparator" w:id="0">
    <w:p w14:paraId="5F2BA0ED" w14:textId="77777777" w:rsidR="005A3D1A" w:rsidRDefault="005A3D1A" w:rsidP="00C336C5">
      <w:pPr>
        <w:spacing w:after="0" w:line="240" w:lineRule="auto"/>
      </w:pPr>
      <w:r>
        <w:continuationSeparator/>
      </w:r>
    </w:p>
  </w:endnote>
  <w:endnote w:type="continuationNotice" w:id="1">
    <w:p w14:paraId="79782045" w14:textId="77777777" w:rsidR="005A3D1A" w:rsidRDefault="005A3D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Neirizi">
    <w:panose1 w:val="02000503000000020003"/>
    <w:charset w:val="00"/>
    <w:family w:val="auto"/>
    <w:pitch w:val="variable"/>
    <w:sig w:usb0="61002A87" w:usb1="80000000" w:usb2="00000008" w:usb3="00000000" w:csb0="000101FF" w:csb1="00000000"/>
  </w:font>
  <w:font w:name="2  Aseman">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FAAE6" w14:textId="77777777" w:rsidR="005A3D1A" w:rsidRDefault="005A3D1A" w:rsidP="00C336C5">
      <w:pPr>
        <w:bidi/>
        <w:spacing w:after="0" w:line="240" w:lineRule="auto"/>
      </w:pPr>
      <w:r>
        <w:separator/>
      </w:r>
    </w:p>
  </w:footnote>
  <w:footnote w:type="continuationSeparator" w:id="0">
    <w:p w14:paraId="6378C288" w14:textId="77777777" w:rsidR="005A3D1A" w:rsidRDefault="005A3D1A" w:rsidP="00C336C5">
      <w:pPr>
        <w:spacing w:after="0" w:line="240" w:lineRule="auto"/>
      </w:pPr>
      <w:r>
        <w:continuationSeparator/>
      </w:r>
    </w:p>
  </w:footnote>
  <w:footnote w:type="continuationNotice" w:id="1">
    <w:p w14:paraId="660BAB80" w14:textId="77777777" w:rsidR="005A3D1A" w:rsidRDefault="005A3D1A">
      <w:pPr>
        <w:spacing w:after="0" w:line="240" w:lineRule="auto"/>
      </w:pPr>
    </w:p>
  </w:footnote>
  <w:footnote w:id="2">
    <w:p w14:paraId="079CF4A4" w14:textId="77777777" w:rsidR="004F41F9" w:rsidRDefault="004F41F9" w:rsidP="004F41F9">
      <w:pPr>
        <w:pStyle w:val="FootnoteText"/>
        <w:bidi/>
        <w:jc w:val="left"/>
        <w:rPr>
          <w:rFonts w:cs="Abz-2 (Badr)"/>
          <w:lang w:bidi="fa-IR"/>
        </w:rPr>
      </w:pPr>
      <w:r>
        <w:rPr>
          <w:rFonts w:cs="Abz-2 (Badr)"/>
          <w:lang w:bidi="fa-IR"/>
        </w:rPr>
        <w:footnoteRef/>
      </w:r>
      <w:r>
        <w:rPr>
          <w:rFonts w:cs="Abz-2 (Badr)" w:hint="cs"/>
          <w:rtl/>
          <w:lang w:bidi="fa-IR"/>
        </w:rPr>
        <w:t xml:space="preserve"> ـ راجع: أجود التقريرات،ج1،ص454.</w:t>
      </w:r>
    </w:p>
  </w:footnote>
  <w:footnote w:id="3">
    <w:p w14:paraId="2B61DA46" w14:textId="77777777" w:rsidR="004F41F9" w:rsidRDefault="004F41F9" w:rsidP="004F41F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مناهج الوصول،ج2،ص245.</w:t>
      </w:r>
    </w:p>
  </w:footnote>
  <w:footnote w:id="4">
    <w:p w14:paraId="63FF66BA" w14:textId="77777777" w:rsidR="004F41F9" w:rsidRDefault="004F41F9" w:rsidP="004F41F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أجود التقريرات،ج1،ص454.</w:t>
      </w:r>
    </w:p>
  </w:footnote>
  <w:footnote w:id="5">
    <w:p w14:paraId="5814C95B" w14:textId="77777777" w:rsidR="004F41F9" w:rsidRDefault="004F41F9" w:rsidP="004F41F9">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مناهج الوصول،ج2،ص245.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2EC110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014623">
                            <w:rPr>
                              <w:rFonts w:cs="B Mehr" w:hint="cs"/>
                              <w:rtl/>
                              <w:lang w:bidi="fa-IR"/>
                            </w:rPr>
                            <w:t xml:space="preserve"> </w:t>
                          </w:r>
                          <w:r w:rsidR="004F41F9">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F41F9">
                            <w:rPr>
                              <w:rFonts w:cs="B Mehr" w:hint="cs"/>
                              <w:rtl/>
                              <w:lang w:bidi="fa-IR"/>
                            </w:rPr>
                            <w:t>18</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2EC110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014623">
                      <w:rPr>
                        <w:rFonts w:cs="B Mehr" w:hint="cs"/>
                        <w:rtl/>
                        <w:lang w:bidi="fa-IR"/>
                      </w:rPr>
                      <w:t xml:space="preserve"> </w:t>
                    </w:r>
                    <w:r w:rsidR="004F41F9">
                      <w:rPr>
                        <w:rFonts w:cs="B Mehr" w:hint="cs"/>
                        <w:rtl/>
                        <w:lang w:bidi="fa-IR"/>
                      </w:rPr>
                      <w:t xml:space="preserve">سه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4F41F9">
                      <w:rPr>
                        <w:rFonts w:cs="B Mehr" w:hint="cs"/>
                        <w:rtl/>
                        <w:lang w:bidi="fa-IR"/>
                      </w:rPr>
                      <w:t>18</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4623"/>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3F13"/>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1F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1A"/>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02A"/>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22B"/>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3E7"/>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7FC"/>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3F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6AC1"/>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4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28F2"/>
    <w:rsid w:val="00C43243"/>
    <w:rsid w:val="00C43569"/>
    <w:rsid w:val="00C43A83"/>
    <w:rsid w:val="00C4584F"/>
    <w:rsid w:val="00C459A0"/>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04F0"/>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4B63"/>
    <w:rsid w:val="00FC7136"/>
    <w:rsid w:val="00FC7599"/>
    <w:rsid w:val="00FD08C1"/>
    <w:rsid w:val="00FD4F57"/>
    <w:rsid w:val="00FD6DFC"/>
    <w:rsid w:val="00FD72FD"/>
    <w:rsid w:val="00FD775B"/>
    <w:rsid w:val="00FE0682"/>
    <w:rsid w:val="00FE070B"/>
    <w:rsid w:val="00FE127F"/>
    <w:rsid w:val="00FE3699"/>
    <w:rsid w:val="00FE3B3D"/>
    <w:rsid w:val="00FE43BD"/>
    <w:rsid w:val="00FE4994"/>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57064362">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8143468">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2946215">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127457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1988585421">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12510077">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4110</TotalTime>
  <Pages>1</Pages>
  <Words>1033</Words>
  <Characters>5892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1272</cp:revision>
  <cp:lastPrinted>2025-04-15T09:36:00Z</cp:lastPrinted>
  <dcterms:created xsi:type="dcterms:W3CDTF">2022-10-16T08:36:00Z</dcterms:created>
  <dcterms:modified xsi:type="dcterms:W3CDTF">2025-12-09T09:49:00Z</dcterms:modified>
</cp:coreProperties>
</file>