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3021A" w14:textId="77777777" w:rsidR="00FE4994" w:rsidRDefault="00FE4994" w:rsidP="00FE4994">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6F045FBB" w14:textId="77777777" w:rsidR="00FE4994" w:rsidRDefault="00FE4994" w:rsidP="00FE4994">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15D9834B" w14:textId="77777777" w:rsidR="00FE4994" w:rsidRDefault="00FE4994" w:rsidP="00FE4994">
      <w:pPr>
        <w:widowControl w:val="0"/>
        <w:bidi/>
        <w:spacing w:after="240"/>
        <w:jc w:val="center"/>
        <w:rPr>
          <w:rFonts w:cs="B Mitra" w:hint="cs"/>
          <w:b/>
          <w:bCs/>
          <w:sz w:val="32"/>
          <w:szCs w:val="32"/>
          <w:rtl/>
          <w:lang w:bidi="fa-IR"/>
        </w:rPr>
      </w:pPr>
      <w:r>
        <w:rPr>
          <w:rFonts w:cs="B Mitra" w:hint="cs"/>
          <w:b/>
          <w:bCs/>
          <w:sz w:val="32"/>
          <w:szCs w:val="32"/>
          <w:rtl/>
          <w:lang w:bidi="fa-IR"/>
        </w:rPr>
        <w:t>جلسه 981</w:t>
      </w:r>
    </w:p>
    <w:bookmarkEnd w:id="0"/>
    <w:p w14:paraId="548E9F8C" w14:textId="77777777" w:rsidR="00FE4994" w:rsidRDefault="00FE4994" w:rsidP="00FE4994">
      <w:pPr>
        <w:widowControl w:val="0"/>
        <w:bidi/>
        <w:spacing w:before="240" w:line="261" w:lineRule="auto"/>
        <w:ind w:firstLine="289"/>
        <w:jc w:val="both"/>
        <w:rPr>
          <w:rFonts w:cs="2  Mitra" w:hint="cs"/>
          <w:sz w:val="28"/>
          <w:szCs w:val="28"/>
          <w:rtl/>
        </w:rPr>
      </w:pPr>
    </w:p>
    <w:p w14:paraId="7E8BACC0" w14:textId="77777777" w:rsidR="00FE4994" w:rsidRDefault="00FE4994" w:rsidP="00FE4994">
      <w:pPr>
        <w:widowControl w:val="0"/>
        <w:bidi/>
        <w:spacing w:before="240" w:line="249" w:lineRule="auto"/>
        <w:ind w:firstLine="284"/>
        <w:jc w:val="both"/>
        <w:rPr>
          <w:rFonts w:cs="2  Mitra" w:hint="cs"/>
          <w:color w:val="000000" w:themeColor="text1"/>
          <w:spacing w:val="-2"/>
          <w:sz w:val="28"/>
          <w:szCs w:val="28"/>
          <w:rtl/>
        </w:rPr>
      </w:pPr>
      <w:r>
        <w:rPr>
          <w:rFonts w:ascii="Neirizi" w:hAnsi="Neirizi" w:cs="Neirizi"/>
          <w:sz w:val="24"/>
          <w:szCs w:val="24"/>
          <w:rtl/>
          <w:lang w:bidi="fa-IR"/>
        </w:rPr>
        <w:t>پاسخ چهارم:</w:t>
      </w:r>
      <w:r>
        <w:rPr>
          <w:rFonts w:cs="2  Mitra" w:hint="cs"/>
          <w:color w:val="000000" w:themeColor="text1"/>
          <w:sz w:val="28"/>
          <w:szCs w:val="28"/>
          <w:rtl/>
          <w:lang w:bidi="fa-IR"/>
        </w:rPr>
        <w:t xml:space="preserve"> </w:t>
      </w:r>
      <w:r>
        <w:rPr>
          <w:rFonts w:cs="2  Mitra" w:hint="cs"/>
          <w:color w:val="000000" w:themeColor="text1"/>
          <w:spacing w:val="-2"/>
          <w:sz w:val="28"/>
          <w:szCs w:val="28"/>
          <w:rtl/>
        </w:rPr>
        <w:t>مرحوم میرزای نائینی بر اساس مبنایی که سابقاً از ايشان گذشت مبنی بر اين که ادوات عموم، سبب تعمیم معنای مراد از مدخول می‌شود، و فهم معنای مراد از مدخول، بر پایه وجود قرینه یا جریان مقدمات حکمت می</w:t>
      </w:r>
      <w:r>
        <w:rPr>
          <w:rFonts w:cs="2  Mitra" w:hint="cs"/>
          <w:color w:val="000000" w:themeColor="text1"/>
          <w:spacing w:val="-2"/>
          <w:sz w:val="28"/>
          <w:szCs w:val="28"/>
          <w:rtl/>
        </w:rPr>
        <w:softHyphen/>
        <w:t>باشد، در بیان نظر خویش در این مسأله می‌فرماید: معیار حقیقت در استعمال آن است که لفظ، در معنای موضوع‌له خود به‌کار رود، و این معیار، هم در عام غیر مخصّص و هم در عام مخصّص محقق است؛ زیرا مدخول ادات عموم تنها در «طبیعت مهمله» که جامع میان مطلق و مقیّد است، استعمال می‌شود، و تقیید و اطلاق از طریق دوالّ دیگر یا مقدمات حکمت دانسته می</w:t>
      </w:r>
      <w:r>
        <w:rPr>
          <w:rFonts w:cs="2  Mitra" w:hint="cs"/>
          <w:color w:val="000000" w:themeColor="text1"/>
          <w:spacing w:val="-2"/>
          <w:sz w:val="28"/>
          <w:szCs w:val="28"/>
          <w:cs/>
          <w:lang w:bidi="fa-IR"/>
        </w:rPr>
        <w:t>‎</w:t>
      </w:r>
      <w:r>
        <w:rPr>
          <w:rFonts w:cs="2  Mitra" w:hint="cs"/>
          <w:color w:val="000000" w:themeColor="text1"/>
          <w:spacing w:val="-2"/>
          <w:sz w:val="28"/>
          <w:szCs w:val="28"/>
          <w:rtl/>
        </w:rPr>
        <w:t>گردد.</w:t>
      </w:r>
    </w:p>
    <w:p w14:paraId="4F6F3B5C" w14:textId="77777777" w:rsidR="00FE4994" w:rsidRDefault="00FE4994" w:rsidP="00FE4994">
      <w:pPr>
        <w:widowControl w:val="0"/>
        <w:bidi/>
        <w:spacing w:before="240" w:line="249" w:lineRule="auto"/>
        <w:ind w:firstLine="284"/>
        <w:jc w:val="both"/>
        <w:rPr>
          <w:rFonts w:cs="2  Mitra" w:hint="cs"/>
          <w:color w:val="000000" w:themeColor="text1"/>
          <w:sz w:val="28"/>
          <w:szCs w:val="28"/>
          <w:rtl/>
        </w:rPr>
      </w:pPr>
      <w:r>
        <w:rPr>
          <w:rFonts w:cs="2  Mitra" w:hint="cs"/>
          <w:color w:val="000000" w:themeColor="text1"/>
          <w:sz w:val="28"/>
          <w:szCs w:val="28"/>
          <w:rtl/>
        </w:rPr>
        <w:t>در موارد تخصیص متصل، قید از دالّ ذکر شده در کلام اخذ می‌شود. امّا در موارد تخصیص منفصل، هرچند لفظ در معنای موضوع‌له خود استعمال شده و جریان مقدمات حکمت در آغاز، موجب ظهور آن در اطلاق می‌گردد، ولی ورود مخصّص منفصل، قرینه بر این می</w:t>
      </w:r>
      <w:r>
        <w:rPr>
          <w:rFonts w:cs="2  Mitra" w:hint="cs"/>
          <w:color w:val="000000" w:themeColor="text1"/>
          <w:sz w:val="28"/>
          <w:szCs w:val="28"/>
          <w:rtl/>
        </w:rPr>
        <w:softHyphen/>
        <w:t>شود که متکلّم هنگام بیان عام، به جهت غفلت از ذکر قید یا به سبب مصلحتی، تنها بخشی از مراد خود را اظهار کرده است و امکان جریان مقدمات حکمت در فهم مراد از مدخول ادوات عموم در دلیل عام، وجود ندارد. در نتیجه استعمال لفظ در هر دو مورد حقیقی خواهد بود.</w:t>
      </w:r>
    </w:p>
    <w:p w14:paraId="79450AC4" w14:textId="77777777" w:rsidR="00FE4994" w:rsidRDefault="00FE4994" w:rsidP="00FE4994">
      <w:pPr>
        <w:widowControl w:val="0"/>
        <w:bidi/>
        <w:spacing w:before="240" w:line="249" w:lineRule="auto"/>
        <w:ind w:firstLine="284"/>
        <w:jc w:val="both"/>
        <w:rPr>
          <w:rFonts w:cs="2  Mitra" w:hint="cs"/>
          <w:color w:val="000000" w:themeColor="text1"/>
          <w:sz w:val="28"/>
          <w:szCs w:val="28"/>
          <w:rtl/>
        </w:rPr>
      </w:pPr>
      <w:r>
        <w:rPr>
          <w:rFonts w:cs="2  Mitra" w:hint="cs"/>
          <w:color w:val="000000" w:themeColor="text1"/>
          <w:sz w:val="28"/>
          <w:szCs w:val="28"/>
          <w:rtl/>
        </w:rPr>
        <w:t>همچنین ادوات عموم نیز همواره در معنای موضوع‌له خود ـ یعنی تعمیم حکم به تمام افراد مدخول آنان ـ به کار می‌روند و گستردگی یا محدودیت افراد مدخول، هیچ تأثیری در حقیقی یا مجازی بودن استعمال آن‌ها ندارد.</w:t>
      </w:r>
      <w:r>
        <w:rPr>
          <w:rStyle w:val="FootnoteReference"/>
          <w:rFonts w:cs="2  Mitra"/>
          <w:sz w:val="28"/>
          <w:szCs w:val="28"/>
          <w:rtl/>
        </w:rPr>
        <w:footnoteReference w:id="2"/>
      </w:r>
    </w:p>
    <w:p w14:paraId="68BAF2F1" w14:textId="77777777" w:rsidR="00FE4994" w:rsidRDefault="00FE4994" w:rsidP="00FE4994">
      <w:pPr>
        <w:widowControl w:val="0"/>
        <w:bidi/>
        <w:spacing w:before="240" w:line="249" w:lineRule="auto"/>
        <w:ind w:firstLine="284"/>
        <w:jc w:val="both"/>
        <w:rPr>
          <w:rFonts w:cs="2  Mitra" w:hint="cs"/>
          <w:color w:val="000000" w:themeColor="text1"/>
          <w:sz w:val="28"/>
          <w:szCs w:val="28"/>
          <w:rtl/>
        </w:rPr>
      </w:pPr>
      <w:r>
        <w:rPr>
          <w:rFonts w:cs="2  Mitra" w:hint="cs"/>
          <w:color w:val="000000" w:themeColor="text1"/>
          <w:sz w:val="28"/>
          <w:szCs w:val="28"/>
          <w:rtl/>
        </w:rPr>
        <w:t>اشکالی که بر این بیان وارد است، آن است که بر اساس آن، دلیل خاص در حقیقت قیدی بر خلاف اطلاق مدخول ادات عموم به‌شمار می‌آید، نه این‌که سبب تخصیص حکم عام گردد و اين مطلب خلاف ارتکاز عرفی است.</w:t>
      </w:r>
    </w:p>
    <w:p w14:paraId="6706FD90" w14:textId="77777777" w:rsidR="00FE4994" w:rsidRDefault="00FE4994" w:rsidP="00FE4994">
      <w:pPr>
        <w:widowControl w:val="0"/>
        <w:bidi/>
        <w:spacing w:before="240" w:line="249" w:lineRule="auto"/>
        <w:ind w:firstLine="284"/>
        <w:jc w:val="both"/>
        <w:rPr>
          <w:rFonts w:cs="2  Mitra"/>
          <w:color w:val="000000" w:themeColor="text1"/>
          <w:sz w:val="28"/>
          <w:szCs w:val="28"/>
        </w:rPr>
      </w:pPr>
      <w:r>
        <w:rPr>
          <w:rFonts w:cs="2  Mitra" w:hint="cs"/>
          <w:color w:val="000000" w:themeColor="text1"/>
          <w:sz w:val="28"/>
          <w:szCs w:val="28"/>
          <w:rtl/>
        </w:rPr>
        <w:t xml:space="preserve">توضیح مطلب اين که گرچه «تخصیص» و «تقیید» هر دو مربوط به مرحله دلالت تصدیقیه ثانیه ـ یعنی کشف مراد جدّی </w:t>
      </w:r>
      <w:r>
        <w:rPr>
          <w:rFonts w:cs="2  Mitra" w:hint="cs"/>
          <w:color w:val="000000" w:themeColor="text1"/>
          <w:sz w:val="28"/>
          <w:szCs w:val="28"/>
          <w:rtl/>
        </w:rPr>
        <w:lastRenderedPageBreak/>
        <w:t>متکلّم ـ هستند، اما میان آن دو تفاوتی وجود دارد. تخصیص بدین معناست که برخی از افرادی که در عام مشمول حکم بوده‌اند، از شمول آن خارج گردند، ولی در تقیید، قید سبب می‌شود که خصوصیتی در موضوع یا متعلق حکم لحاظ شود که نتیجه آن، عدم شمول حکم نسبت به افراد فاقد آن قید است.</w:t>
      </w:r>
    </w:p>
    <w:p w14:paraId="123A5A60" w14:textId="77777777" w:rsidR="00FE4994" w:rsidRDefault="00FE4994" w:rsidP="00FE4994">
      <w:pPr>
        <w:widowControl w:val="0"/>
        <w:bidi/>
        <w:spacing w:before="240" w:line="249" w:lineRule="auto"/>
        <w:ind w:firstLine="284"/>
        <w:jc w:val="both"/>
        <w:rPr>
          <w:rFonts w:cs="2  Mitra"/>
          <w:color w:val="000000" w:themeColor="text1"/>
          <w:spacing w:val="-2"/>
          <w:sz w:val="28"/>
          <w:szCs w:val="28"/>
        </w:rPr>
      </w:pPr>
      <w:r>
        <w:rPr>
          <w:rFonts w:cs="2  Mitra" w:hint="cs"/>
          <w:color w:val="000000" w:themeColor="text1"/>
          <w:spacing w:val="-2"/>
          <w:sz w:val="28"/>
          <w:szCs w:val="28"/>
          <w:rtl/>
        </w:rPr>
        <w:t>به بیان دیگر: عرف میان تخصیص و تقیید فرق می‌گذارد؛ بدین ترتیب که تخصیص را موجب زوال ظهور عام در عموم نمی‌داند، امّا در تقیید، ذکر قید مانع از جریان مقدمات حکمت شده و اجازه نمی‌دهد ظهوری در اطلاق پيدا شود.</w:t>
      </w:r>
    </w:p>
    <w:p w14:paraId="63A9DF47" w14:textId="77777777" w:rsidR="00FE4994" w:rsidRDefault="00FE4994" w:rsidP="00FE4994">
      <w:pPr>
        <w:widowControl w:val="0"/>
        <w:bidi/>
        <w:spacing w:before="240" w:line="249" w:lineRule="auto"/>
        <w:ind w:firstLine="284"/>
        <w:jc w:val="both"/>
        <w:rPr>
          <w:rFonts w:cs="2  Mitra" w:hint="cs"/>
          <w:color w:val="000000" w:themeColor="text1"/>
          <w:spacing w:val="-2"/>
          <w:sz w:val="28"/>
          <w:szCs w:val="28"/>
          <w:rtl/>
        </w:rPr>
      </w:pPr>
      <w:r>
        <w:rPr>
          <w:rFonts w:cs="2  Mitra" w:hint="cs"/>
          <w:color w:val="000000" w:themeColor="text1"/>
          <w:spacing w:val="-2"/>
          <w:sz w:val="28"/>
          <w:szCs w:val="28"/>
          <w:rtl/>
        </w:rPr>
        <w:t>ریشه‌ی این تفاوت نيز در آن است که ظهور عام در عموم، ظهور وضعی و مربوط به مرحله‌ی دلالت تصوّریه است، در حالی که ظهور مطلق در اطلاق، مربوط به مرحله‌ی دلالت تصدیقیه ثانیه می‌باشد. بنابر این ورود دلیل برخلاف عموم، موجب از بین رفتن ظهور عام در عموم ـ که در مرحله‌ی پیش از ورود خاص تحقق یافته ـ نمی‌شود، امّا ورود دلیل برخلاف اطلاق، ظهور دلیلی را که به ظاهر مطلق است در اطلاق از میان می‌برد.</w:t>
      </w:r>
    </w:p>
    <w:p w14:paraId="06E78ECC" w14:textId="77777777" w:rsidR="00FE4994" w:rsidRDefault="00FE4994" w:rsidP="00FE4994">
      <w:pPr>
        <w:widowControl w:val="0"/>
        <w:bidi/>
        <w:spacing w:before="240"/>
        <w:ind w:firstLine="284"/>
        <w:jc w:val="both"/>
        <w:rPr>
          <w:rFonts w:cs="2  Mitra"/>
          <w:color w:val="000000" w:themeColor="text1"/>
          <w:sz w:val="28"/>
          <w:szCs w:val="28"/>
        </w:rPr>
      </w:pPr>
      <w:r>
        <w:rPr>
          <w:rFonts w:cs="2  Mitra" w:hint="cs"/>
          <w:color w:val="000000" w:themeColor="text1"/>
          <w:sz w:val="28"/>
          <w:szCs w:val="28"/>
          <w:rtl/>
        </w:rPr>
        <w:t>بر این اساس بازگرداندن تخصیص به تقیید به این معنا خواهد بود که هیچ تفاوتی میان آن دو وجود ندارد و ملاک هر دو یکی است ـ همان گونه که مرحوم میرزای نائینی نیز به آن اقرار کرده</w:t>
      </w:r>
      <w:r>
        <w:rPr>
          <w:rFonts w:cs="2  Mitra" w:hint="cs"/>
          <w:color w:val="000000" w:themeColor="text1"/>
          <w:sz w:val="28"/>
          <w:szCs w:val="28"/>
          <w:rtl/>
        </w:rPr>
        <w:softHyphen/>
        <w:t>اند</w:t>
      </w:r>
      <w:r>
        <w:rPr>
          <w:rStyle w:val="FootnoteReference"/>
          <w:rFonts w:cs="2  Mitra"/>
          <w:sz w:val="28"/>
          <w:szCs w:val="28"/>
          <w:rtl/>
        </w:rPr>
        <w:footnoteReference w:id="3"/>
      </w:r>
      <w:r>
        <w:rPr>
          <w:rFonts w:cs="2  Mitra" w:hint="cs"/>
          <w:color w:val="000000" w:themeColor="text1"/>
          <w:sz w:val="28"/>
          <w:szCs w:val="28"/>
          <w:rtl/>
        </w:rPr>
        <w:t xml:space="preserve"> ـ در حالی که این سخن با ارتکاز عرفی ناسازگار است.</w:t>
      </w:r>
    </w:p>
    <w:p w14:paraId="7C5DE014" w14:textId="77777777" w:rsidR="00FE4994" w:rsidRDefault="00FE4994" w:rsidP="00FE4994">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در حقیقت، آنچه مرحوم میرزای نائینی ادعا کرده‌اند همان مطلبی است که پیش‌تر از مرحوم آخوند در خصوص مخصّص متّصل نقل شد و گفتیم که فرمایش ایشان در مورد مخصّص متّصل تمام نیست و تفاوتی میان مخصّص متّصل و منفصل وجود ندارد. مرحوم میرزای نائینی همان استدلال را به مخصّص منفصل نیز تعمیم داده‌اند که اشکال آن بیان شد.</w:t>
      </w:r>
    </w:p>
    <w:p w14:paraId="386A5368" w14:textId="77777777" w:rsidR="00FE4994" w:rsidRDefault="00FE4994" w:rsidP="00FE4994">
      <w:pPr>
        <w:rPr>
          <w:rFonts w:cs="2  Mitra" w:hint="cs"/>
          <w:color w:val="000000" w:themeColor="text1"/>
          <w:sz w:val="28"/>
          <w:szCs w:val="28"/>
          <w:rtl/>
        </w:rPr>
      </w:pPr>
      <w:r>
        <w:rPr>
          <w:rFonts w:cs="2  Mitra" w:hint="cs"/>
          <w:color w:val="000000" w:themeColor="text1"/>
          <w:sz w:val="28"/>
          <w:szCs w:val="28"/>
          <w:rtl/>
        </w:rPr>
        <w:br w:type="page"/>
      </w:r>
    </w:p>
    <w:p w14:paraId="620E853C" w14:textId="77777777" w:rsidR="00FE4994" w:rsidRDefault="00FE4994" w:rsidP="00FE4994">
      <w:pPr>
        <w:widowControl w:val="0"/>
        <w:bidi/>
        <w:spacing w:after="0"/>
        <w:ind w:firstLine="284"/>
        <w:jc w:val="both"/>
        <w:rPr>
          <w:rFonts w:cs="Abz-2 (Badr)" w:hint="cs"/>
          <w:color w:val="000000" w:themeColor="text1"/>
          <w:sz w:val="28"/>
          <w:szCs w:val="28"/>
          <w:rtl/>
        </w:rPr>
      </w:pPr>
      <w:r>
        <w:rPr>
          <w:rFonts w:cs="Abz-2 (Badr)" w:hint="cs"/>
          <w:b/>
          <w:bCs/>
          <w:color w:val="000000" w:themeColor="text1"/>
          <w:sz w:val="28"/>
          <w:szCs w:val="28"/>
          <w:rtl/>
        </w:rPr>
        <w:lastRenderedPageBreak/>
        <w:t>الجواب الرابع:</w:t>
      </w:r>
      <w:r>
        <w:rPr>
          <w:rFonts w:cs="Abz-2 (Badr)" w:hint="cs"/>
          <w:color w:val="000000" w:themeColor="text1"/>
          <w:sz w:val="28"/>
          <w:szCs w:val="28"/>
          <w:rtl/>
        </w:rPr>
        <w:t xml:space="preserve"> إنّ الميرزا النائيني بناءً على مبناه الذي تقدّم عنه سابقاً من أنّ أدوات العموم تسبّب تعميم المعنى المراد من المدخول، وأنّ فهم المعنى المراد من المدخول مبنيّ إمّا على وجود القرينة أو على جريان مقدّمات الحكمة، يذهب في بيان نظره في هذه المسألة إلى أنّ المعيار في الاستعمال الحقيقي هو أن يستعمل اللفظ في معناه الموضوع له، وهذا المعيار متحقّق في العامّ غير المخصّص كما هو متحقّق في العامّ المخصّص؛ وذلك لأنّ مدخول أدوات العموم لا يستعمل إلّا في «الطبيعة المهملة» التي هي الجامع بين المطلق والمقيّد، وأمّا التقييد والإطلاق فيؤخذان من الدوالّ الأُخرى أو من مقدّمات الحكمة.</w:t>
      </w:r>
    </w:p>
    <w:p w14:paraId="621A416F" w14:textId="77777777" w:rsidR="00FE4994" w:rsidRDefault="00FE4994" w:rsidP="00FE499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ففي موارد التخصيص المتّصل، يستفاد القيد من نفس الدالّ المذكور في الكلام.</w:t>
      </w:r>
    </w:p>
    <w:p w14:paraId="244D3C15" w14:textId="77777777" w:rsidR="00FE4994" w:rsidRDefault="00FE4994" w:rsidP="00FE499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وأمّا في موارد التخصيص المنفصل، فإنّ اللفظ وإن كان قد استعمل في معناه الموضوع له وأنّ جريان مقدّمات الحكمة أوّلاً قد أوجب ظهوره في الإطلاق، إلّا أنّ ورود المخصّص المنفصل يكون قرينة على أنّ المتكلّم عند إلقاء العامّ لم يظهر تمام مراده، إمّا لغفلته عن ذكر القيد أو لمصلحة اقتضت الاكتفاء بذكر بعض المراد دون بعضه الآخر.</w:t>
      </w:r>
    </w:p>
    <w:p w14:paraId="4206B5AA" w14:textId="77777777" w:rsidR="00FE4994" w:rsidRDefault="00FE4994" w:rsidP="00FE499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وعليه فلا مجال لجريان مقدّمات الحكمة في فهم المراد من مدخول أدوات العموم في الدليل العامّ بعد ورود المخصّص المنفصل، ويكون استعمال العامّ في كلا الموردين ـ أي: التخصيص بالمتّصل والمنفصل ـ استعمالاً حقيقيّاً.</w:t>
      </w:r>
    </w:p>
    <w:p w14:paraId="167411E7" w14:textId="77777777" w:rsidR="00FE4994" w:rsidRDefault="00FE4994" w:rsidP="00FE4994">
      <w:pPr>
        <w:widowControl w:val="0"/>
        <w:bidi/>
        <w:spacing w:after="0" w:line="249" w:lineRule="auto"/>
        <w:ind w:firstLine="284"/>
        <w:jc w:val="both"/>
        <w:rPr>
          <w:rFonts w:cs="2  Mitra" w:hint="cs"/>
          <w:color w:val="000000" w:themeColor="text1"/>
          <w:sz w:val="28"/>
          <w:szCs w:val="28"/>
          <w:rtl/>
        </w:rPr>
      </w:pPr>
      <w:r>
        <w:rPr>
          <w:rFonts w:cs="Abz-2 (Badr)" w:hint="cs"/>
          <w:color w:val="000000" w:themeColor="text1"/>
          <w:sz w:val="28"/>
          <w:szCs w:val="28"/>
          <w:rtl/>
        </w:rPr>
        <w:t>كما أنّ أدوات العموم تستعمل دائماً في معانيها الموضوعة لها، أي في تعميم الحكم على جميع أفراد مدخولها، ولا يكون لسعة أفراد المدخول أو ضيقها أيّ أثر في كون استعمالها حقيقيّاً أو مجازيّاً.</w:t>
      </w:r>
      <w:r>
        <w:rPr>
          <w:rStyle w:val="FootnoteReference"/>
          <w:rFonts w:cs="Abz-2 (Badr)"/>
          <w:sz w:val="28"/>
          <w:szCs w:val="28"/>
          <w:rtl/>
        </w:rPr>
        <w:footnoteReference w:id="4"/>
      </w:r>
    </w:p>
    <w:p w14:paraId="7DDF87E8" w14:textId="77777777" w:rsidR="00FE4994" w:rsidRDefault="00FE4994" w:rsidP="00FE499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وفيه: أنّه بناءً علی هذه الدعوی يكون الدليل الخاصّ في الحقيقة قيداً على خلاف إطلاق مدخول أدوات العموم، لا مخصّصاً لحكم العامّ، وهذا مخالف للارتكاز العرفي.</w:t>
      </w:r>
    </w:p>
    <w:p w14:paraId="036DC9F1" w14:textId="77777777" w:rsidR="00FE4994" w:rsidRDefault="00FE4994" w:rsidP="00FE499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توضيح ذلك: أنّه وإن كان التخصيص و التقييد كليهما راجعين إلى مرحلة الدلالة التصديقيّة الثانية ـ أي مقام كشف المراد الجدّي للمتكلّم ـ إلّا أنّ بينهما فرقاً واضحاً؛ فالتخصيص عبارة عن إخراج بعض الأفراد الذين كان الدليل العامّ شاملاً لهم أوّلاً من تحت حكمه، وأمّا التقييد فمعناه أنّ القيد يوجب لحاظ خصوصيّة في موضوع الحكم أو متعلّقه ويكون أثره عدم شمول الحكم للأفراد الفاقدين لذلك القيد.</w:t>
      </w:r>
    </w:p>
    <w:p w14:paraId="25E8E35E" w14:textId="77777777" w:rsidR="00FE4994" w:rsidRDefault="00FE4994" w:rsidP="00FE499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وبعبارة أُخرى: إنّ العرف يفرّق بين التخصيص والتقييد؛ فهو لا يرى أنّ المخصّص يزيل ظهور العامّ في العموم، بينما يرى أنّ ذكر القيد يمنع من جريان مقدّمات الحكمة ولا يسمح بانعقاد ظهور في الإطلاق.</w:t>
      </w:r>
    </w:p>
    <w:p w14:paraId="72674531" w14:textId="77777777" w:rsidR="00FE4994" w:rsidRDefault="00FE4994" w:rsidP="00FE499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ومنشأ هذا الفرق أنّ ظهور العامّ في العموم وضعي ومتعلّق بمرحلة الدلالة التصوّريّة، بينما ظهور المطلق في الإطلاق متعلّق بمرحلة الدلالة التصديقيّة الثانية.</w:t>
      </w:r>
    </w:p>
    <w:p w14:paraId="7ED663E8" w14:textId="77777777" w:rsidR="00FE4994" w:rsidRDefault="00FE4994" w:rsidP="00FE499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وعليه فإنّ ورود دليل على خلاف العموم لا يوجب زوال ظهور العامّ في العموم الذي تحقّق في المرحلة السابقة، بينما ورود قرينة على خلاف الإطلاق يزيل ظهور الدليل في الإطلاق.</w:t>
      </w:r>
    </w:p>
    <w:p w14:paraId="01C3A5E9" w14:textId="77777777" w:rsidR="00FE4994" w:rsidRDefault="00FE4994" w:rsidP="00FE499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فإرجاع التخصيص إلى التقييد يعني نفي فرق بينهما وأنّ ملاكهما واحد ـ كما أقرّ به الميرزا النائيني</w:t>
      </w:r>
      <w:r>
        <w:rPr>
          <w:rStyle w:val="FootnoteReference"/>
          <w:rFonts w:cs="Abz-2 (Badr)"/>
          <w:sz w:val="28"/>
          <w:szCs w:val="28"/>
          <w:rtl/>
        </w:rPr>
        <w:footnoteReference w:id="5"/>
      </w:r>
      <w:r>
        <w:rPr>
          <w:rFonts w:cs="Abz-2 (Badr)" w:hint="cs"/>
          <w:color w:val="000000" w:themeColor="text1"/>
          <w:sz w:val="28"/>
          <w:szCs w:val="28"/>
          <w:rtl/>
        </w:rPr>
        <w:t xml:space="preserve"> ـ مع أنّ هذا مخالف للارتكاز العرفي.</w:t>
      </w:r>
    </w:p>
    <w:p w14:paraId="49C07B0A" w14:textId="77777777" w:rsidR="00FE4994" w:rsidRDefault="00FE4994" w:rsidP="00FE4994">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والحقيقة أنّ ما ادّعاه الميرزا النائيني هو نفس ما تقدّم من الآخوند في خصوص المخصّص المتّصل ـ وقد بيّنّا أنّ كلامه غير تامّ وأنّه لا فرق بين المخصّص المتّصل والمنفصل ـ والمحقّق النائيني قد عمّم هذا الاستدلال على المخصّص المنفصل أيضاً وقد عرفت وجه الإشكال فيه.</w:t>
      </w:r>
    </w:p>
    <w:p w14:paraId="783D0C98" w14:textId="77777777" w:rsidR="00FE4994" w:rsidRDefault="00FE4994" w:rsidP="00FE4994">
      <w:pPr>
        <w:widowControl w:val="0"/>
        <w:bidi/>
        <w:spacing w:after="0"/>
        <w:ind w:firstLine="284"/>
        <w:jc w:val="both"/>
        <w:rPr>
          <w:rFonts w:cs="Abz-2 (Badr)"/>
          <w:color w:val="000000" w:themeColor="text1"/>
          <w:sz w:val="28"/>
          <w:szCs w:val="28"/>
        </w:rPr>
      </w:pPr>
    </w:p>
    <w:p w14:paraId="59190B85" w14:textId="77777777" w:rsidR="00FE4994" w:rsidRDefault="00FE4994" w:rsidP="00FE4994">
      <w:pPr>
        <w:widowControl w:val="0"/>
        <w:bidi/>
        <w:spacing w:after="0"/>
        <w:ind w:firstLine="284"/>
        <w:jc w:val="both"/>
        <w:rPr>
          <w:rFonts w:cs="Abz-2 (Badr)"/>
          <w:color w:val="000000" w:themeColor="text1"/>
          <w:sz w:val="28"/>
          <w:szCs w:val="28"/>
        </w:rPr>
      </w:pPr>
    </w:p>
    <w:p w14:paraId="30DBC12A" w14:textId="77777777" w:rsidR="00FE4994" w:rsidRDefault="00FE4994" w:rsidP="00FE4994">
      <w:pPr>
        <w:widowControl w:val="0"/>
        <w:bidi/>
        <w:spacing w:after="0"/>
        <w:ind w:firstLine="284"/>
        <w:jc w:val="both"/>
        <w:rPr>
          <w:rFonts w:cs="Abz-2 (Badr)"/>
          <w:color w:val="000000" w:themeColor="text1"/>
          <w:sz w:val="28"/>
          <w:szCs w:val="28"/>
        </w:rPr>
      </w:pPr>
    </w:p>
    <w:p w14:paraId="798E258C" w14:textId="77777777" w:rsidR="00FE4994" w:rsidRDefault="00FE4994" w:rsidP="00FE4994">
      <w:pPr>
        <w:widowControl w:val="0"/>
        <w:bidi/>
        <w:spacing w:before="240"/>
        <w:ind w:firstLine="284"/>
        <w:jc w:val="both"/>
        <w:rPr>
          <w:rFonts w:cs="2  Mitra"/>
          <w:color w:val="000000" w:themeColor="text1"/>
          <w:sz w:val="28"/>
          <w:szCs w:val="28"/>
        </w:rPr>
      </w:pPr>
    </w:p>
    <w:p w14:paraId="7D9979DE" w14:textId="26D41A3F" w:rsidR="001B24FC" w:rsidRPr="00FE4994" w:rsidRDefault="001B24FC" w:rsidP="00FE4994">
      <w:pPr>
        <w:rPr>
          <w:rtl/>
        </w:rPr>
      </w:pPr>
    </w:p>
    <w:sectPr w:rsidR="001B24FC" w:rsidRPr="00FE4994"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0F0B" w14:textId="77777777" w:rsidR="00A073F3" w:rsidRDefault="00A073F3" w:rsidP="00C336C5">
      <w:pPr>
        <w:spacing w:after="0" w:line="240" w:lineRule="auto"/>
      </w:pPr>
      <w:r>
        <w:separator/>
      </w:r>
    </w:p>
  </w:endnote>
  <w:endnote w:type="continuationSeparator" w:id="0">
    <w:p w14:paraId="3658276D" w14:textId="77777777" w:rsidR="00A073F3" w:rsidRDefault="00A073F3" w:rsidP="00C336C5">
      <w:pPr>
        <w:spacing w:after="0" w:line="240" w:lineRule="auto"/>
      </w:pPr>
      <w:r>
        <w:continuationSeparator/>
      </w:r>
    </w:p>
  </w:endnote>
  <w:endnote w:type="continuationNotice" w:id="1">
    <w:p w14:paraId="230258D8" w14:textId="77777777" w:rsidR="00A073F3" w:rsidRDefault="00A073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Neirizi">
    <w:panose1 w:val="02000503000000020003"/>
    <w:charset w:val="00"/>
    <w:family w:val="auto"/>
    <w:pitch w:val="variable"/>
    <w:sig w:usb0="61002A87" w:usb1="80000000" w:usb2="00000008" w:usb3="00000000" w:csb0="000101FF"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61A35" w14:textId="77777777" w:rsidR="00A073F3" w:rsidRDefault="00A073F3" w:rsidP="00C336C5">
      <w:pPr>
        <w:bidi/>
        <w:spacing w:after="0" w:line="240" w:lineRule="auto"/>
      </w:pPr>
      <w:r>
        <w:separator/>
      </w:r>
    </w:p>
  </w:footnote>
  <w:footnote w:type="continuationSeparator" w:id="0">
    <w:p w14:paraId="5F05A94E" w14:textId="77777777" w:rsidR="00A073F3" w:rsidRDefault="00A073F3" w:rsidP="00C336C5">
      <w:pPr>
        <w:spacing w:after="0" w:line="240" w:lineRule="auto"/>
      </w:pPr>
      <w:r>
        <w:continuationSeparator/>
      </w:r>
    </w:p>
  </w:footnote>
  <w:footnote w:type="continuationNotice" w:id="1">
    <w:p w14:paraId="788DB90F" w14:textId="77777777" w:rsidR="00A073F3" w:rsidRDefault="00A073F3">
      <w:pPr>
        <w:spacing w:after="0" w:line="240" w:lineRule="auto"/>
      </w:pPr>
    </w:p>
  </w:footnote>
  <w:footnote w:id="2">
    <w:p w14:paraId="5D435C07" w14:textId="77777777" w:rsidR="00FE4994" w:rsidRDefault="00FE4994" w:rsidP="00FE4994">
      <w:pPr>
        <w:pStyle w:val="FootnoteText"/>
        <w:bidi/>
        <w:jc w:val="left"/>
        <w:rPr>
          <w:rFonts w:cs="Abz-2 (Badr)"/>
          <w:lang w:bidi="fa-IR"/>
        </w:rPr>
      </w:pPr>
      <w:r>
        <w:rPr>
          <w:rFonts w:cs="Abz-2 (Badr)"/>
          <w:lang w:bidi="fa-IR"/>
        </w:rPr>
        <w:footnoteRef/>
      </w:r>
      <w:r>
        <w:rPr>
          <w:rFonts w:cs="Abz-2 (Badr)" w:hint="cs"/>
          <w:rtl/>
          <w:lang w:bidi="fa-IR"/>
        </w:rPr>
        <w:t xml:space="preserve"> ـ راجع: أجود التقريرات،ج1،ص449 و 450.</w:t>
      </w:r>
    </w:p>
  </w:footnote>
  <w:footnote w:id="3">
    <w:p w14:paraId="7C2E4F3B" w14:textId="77777777" w:rsidR="00FE4994" w:rsidRDefault="00FE4994" w:rsidP="00FE4994">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همان،ص451.</w:t>
      </w:r>
    </w:p>
  </w:footnote>
  <w:footnote w:id="4">
    <w:p w14:paraId="17A290B5" w14:textId="77777777" w:rsidR="00FE4994" w:rsidRDefault="00FE4994" w:rsidP="00FE4994">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التقريرات،ج1،ص449 و 450.</w:t>
      </w:r>
    </w:p>
  </w:footnote>
  <w:footnote w:id="5">
    <w:p w14:paraId="52963669" w14:textId="77777777" w:rsidR="00FE4994" w:rsidRDefault="00FE4994" w:rsidP="00FE4994">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المصدر نفسه،ص451.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4270C673"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FE4994">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FE4994">
                            <w:rPr>
                              <w:rFonts w:cs="B Mehr" w:hint="cs"/>
                              <w:rtl/>
                              <w:lang w:bidi="fa-IR"/>
                            </w:rPr>
                            <w:t>17</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4270C673"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FE4994">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FE4994">
                      <w:rPr>
                        <w:rFonts w:cs="B Mehr" w:hint="cs"/>
                        <w:rtl/>
                        <w:lang w:bidi="fa-IR"/>
                      </w:rPr>
                      <w:t>17</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4623"/>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3F13"/>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02A"/>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22B"/>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7FC"/>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3F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6AC1"/>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4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28F2"/>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04F0"/>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4B63"/>
    <w:rsid w:val="00FC7136"/>
    <w:rsid w:val="00FC7599"/>
    <w:rsid w:val="00FD08C1"/>
    <w:rsid w:val="00FD4F57"/>
    <w:rsid w:val="00FD6DFC"/>
    <w:rsid w:val="00FD72FD"/>
    <w:rsid w:val="00FD775B"/>
    <w:rsid w:val="00FE0682"/>
    <w:rsid w:val="00FE070B"/>
    <w:rsid w:val="00FE127F"/>
    <w:rsid w:val="00FE3699"/>
    <w:rsid w:val="00FE3B3D"/>
    <w:rsid w:val="00FE43BD"/>
    <w:rsid w:val="00FE4994"/>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2946215">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127457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1988585421">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12510077">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4110</TotalTime>
  <Pages>1</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1270</cp:revision>
  <cp:lastPrinted>2025-04-15T09:36:00Z</cp:lastPrinted>
  <dcterms:created xsi:type="dcterms:W3CDTF">2022-10-16T08:36:00Z</dcterms:created>
  <dcterms:modified xsi:type="dcterms:W3CDTF">2025-12-08T17:20:00Z</dcterms:modified>
</cp:coreProperties>
</file>