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0914E" w14:textId="77777777" w:rsidR="00C428F2" w:rsidRDefault="00C428F2" w:rsidP="00C428F2">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4133D65" w14:textId="77777777" w:rsidR="00C428F2" w:rsidRDefault="00C428F2" w:rsidP="00C428F2">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1272049" w14:textId="77777777" w:rsidR="00C428F2" w:rsidRDefault="00C428F2" w:rsidP="00C428F2">
      <w:pPr>
        <w:widowControl w:val="0"/>
        <w:bidi/>
        <w:spacing w:after="240"/>
        <w:jc w:val="center"/>
        <w:rPr>
          <w:rFonts w:cs="B Mitra" w:hint="cs"/>
          <w:b/>
          <w:bCs/>
          <w:sz w:val="32"/>
          <w:szCs w:val="32"/>
          <w:rtl/>
          <w:lang w:bidi="fa-IR"/>
        </w:rPr>
      </w:pPr>
      <w:r>
        <w:rPr>
          <w:rFonts w:cs="B Mitra" w:hint="cs"/>
          <w:b/>
          <w:bCs/>
          <w:sz w:val="32"/>
          <w:szCs w:val="32"/>
          <w:rtl/>
          <w:lang w:bidi="fa-IR"/>
        </w:rPr>
        <w:t>جلسه 978</w:t>
      </w:r>
    </w:p>
    <w:bookmarkEnd w:id="0"/>
    <w:p w14:paraId="350E6D22" w14:textId="77777777" w:rsidR="00C428F2" w:rsidRDefault="00C428F2" w:rsidP="00C428F2">
      <w:pPr>
        <w:widowControl w:val="0"/>
        <w:bidi/>
        <w:spacing w:before="240" w:line="261" w:lineRule="auto"/>
        <w:ind w:firstLine="289"/>
        <w:jc w:val="both"/>
        <w:rPr>
          <w:rFonts w:cs="2  Mitra" w:hint="cs"/>
          <w:sz w:val="28"/>
          <w:szCs w:val="28"/>
          <w:rtl/>
        </w:rPr>
      </w:pPr>
    </w:p>
    <w:p w14:paraId="057D7850" w14:textId="77777777" w:rsidR="00C428F2" w:rsidRDefault="00C428F2" w:rsidP="00C428F2">
      <w:pPr>
        <w:widowControl w:val="0"/>
        <w:bidi/>
        <w:spacing w:before="240"/>
        <w:ind w:firstLine="284"/>
        <w:jc w:val="both"/>
        <w:rPr>
          <w:rFonts w:cs="2  Mitra" w:hint="cs"/>
          <w:color w:val="000000" w:themeColor="text1"/>
          <w:spacing w:val="-4"/>
          <w:sz w:val="28"/>
          <w:szCs w:val="28"/>
          <w:rtl/>
        </w:rPr>
      </w:pPr>
      <w:r>
        <w:rPr>
          <w:rFonts w:cs="2  Mitra" w:hint="cs"/>
          <w:color w:val="000000" w:themeColor="text1"/>
          <w:spacing w:val="-4"/>
          <w:sz w:val="28"/>
          <w:szCs w:val="28"/>
          <w:rtl/>
        </w:rPr>
        <w:t>اشکالاتی که بر تقریر مرحوم شيخ از مسأله تمسّک به عام بعد از ورود خاص وارد می</w:t>
      </w:r>
      <w:r>
        <w:rPr>
          <w:rFonts w:cs="2  Mitra" w:hint="cs"/>
          <w:color w:val="000000" w:themeColor="text1"/>
          <w:spacing w:val="-4"/>
          <w:sz w:val="28"/>
          <w:szCs w:val="28"/>
          <w:rtl/>
        </w:rPr>
        <w:softHyphen/>
        <w:t>شود را جلسه قبل مطرح کرديم.</w:t>
      </w:r>
    </w:p>
    <w:p w14:paraId="397D4910" w14:textId="77777777" w:rsidR="00C428F2" w:rsidRDefault="00C428F2" w:rsidP="00C428F2">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اما مرحوم آيت الله روحانی نيز در صدد توجيه فرمايش شيخ برآمده و فرموده</w:t>
      </w:r>
      <w:r>
        <w:rPr>
          <w:rFonts w:cs="2  Mitra" w:hint="cs"/>
          <w:color w:val="000000" w:themeColor="text1"/>
          <w:sz w:val="28"/>
          <w:szCs w:val="28"/>
          <w:rtl/>
        </w:rPr>
        <w:softHyphen/>
        <w:t>اند: اگر شرط جزئیت برای استعمال مجازی کافی باشد، چون لفظ با همه‌ی مراتب جزء ارتباط دارد و این مراتب در طول یکدیگرند، لفظ در بالاترین مرتبه ظهور خواهد داشت، زیرا آن مرتبه جامع همه‌ی مراتب است.</w:t>
      </w:r>
    </w:p>
    <w:p w14:paraId="1668C6E7" w14:textId="77777777" w:rsidR="00C428F2" w:rsidRDefault="00C428F2" w:rsidP="00C428F2">
      <w:pPr>
        <w:widowControl w:val="0"/>
        <w:bidi/>
        <w:spacing w:before="240"/>
        <w:ind w:firstLine="284"/>
        <w:jc w:val="both"/>
        <w:rPr>
          <w:rFonts w:cs="2  Mitra" w:hint="cs"/>
          <w:color w:val="000000" w:themeColor="text1"/>
          <w:spacing w:val="-4"/>
          <w:sz w:val="28"/>
          <w:szCs w:val="28"/>
          <w:rtl/>
        </w:rPr>
      </w:pPr>
      <w:r>
        <w:rPr>
          <w:rFonts w:cs="2  Mitra" w:hint="cs"/>
          <w:color w:val="000000" w:themeColor="text1"/>
          <w:spacing w:val="-4"/>
          <w:sz w:val="28"/>
          <w:szCs w:val="28"/>
          <w:rtl/>
        </w:rPr>
        <w:t>و چنانچه شرط استعمال مجازی بیش از جزئیت باشد و آن شرط در همه‌ی مراتب مشترک باشد، باز هم به مانند حالت سابق اجمالی رخ نمی‌دهد.</w:t>
      </w:r>
    </w:p>
    <w:p w14:paraId="4CA34876" w14:textId="77777777" w:rsidR="00C428F2" w:rsidRDefault="00C428F2" w:rsidP="00C428F2">
      <w:pPr>
        <w:widowControl w:val="0"/>
        <w:bidi/>
        <w:spacing w:before="240"/>
        <w:ind w:firstLine="284"/>
        <w:jc w:val="both"/>
        <w:rPr>
          <w:rFonts w:cs="2  Mitra" w:hint="cs"/>
          <w:color w:val="000000" w:themeColor="text1"/>
          <w:spacing w:val="-4"/>
          <w:sz w:val="28"/>
          <w:szCs w:val="28"/>
          <w:rtl/>
        </w:rPr>
      </w:pPr>
      <w:r>
        <w:rPr>
          <w:rFonts w:cs="2  Mitra" w:hint="cs"/>
          <w:color w:val="000000" w:themeColor="text1"/>
          <w:spacing w:val="-4"/>
          <w:sz w:val="28"/>
          <w:szCs w:val="28"/>
          <w:rtl/>
        </w:rPr>
        <w:t>اما اگر</w:t>
      </w:r>
      <w:r>
        <w:rPr>
          <w:rFonts w:cs="2  Mitra" w:hint="cs"/>
          <w:color w:val="000000" w:themeColor="text1"/>
          <w:spacing w:val="-4"/>
          <w:sz w:val="28"/>
          <w:szCs w:val="28"/>
          <w:rtl/>
          <w:lang w:bidi="fa-IR"/>
        </w:rPr>
        <w:t xml:space="preserve"> علاقه</w:t>
      </w:r>
      <w:r>
        <w:rPr>
          <w:rFonts w:cs="2  Mitra" w:hint="cs"/>
          <w:color w:val="000000" w:themeColor="text1"/>
          <w:spacing w:val="-4"/>
          <w:sz w:val="28"/>
          <w:szCs w:val="28"/>
          <w:rtl/>
          <w:lang w:bidi="fa-IR"/>
        </w:rPr>
        <w:softHyphen/>
        <w:t>ای که مجوز استعمال مجازی لفظ عام در هر مرتبه می</w:t>
      </w:r>
      <w:r>
        <w:rPr>
          <w:rFonts w:cs="2  Mitra" w:hint="cs"/>
          <w:color w:val="000000" w:themeColor="text1"/>
          <w:spacing w:val="-4"/>
          <w:sz w:val="28"/>
          <w:szCs w:val="28"/>
          <w:rtl/>
          <w:lang w:bidi="fa-IR"/>
        </w:rPr>
        <w:softHyphen/>
        <w:t>شود، با علاقه</w:t>
      </w:r>
      <w:r>
        <w:rPr>
          <w:rFonts w:cs="2  Mitra" w:hint="cs"/>
          <w:color w:val="000000" w:themeColor="text1"/>
          <w:spacing w:val="-4"/>
          <w:sz w:val="28"/>
          <w:szCs w:val="28"/>
          <w:rtl/>
          <w:lang w:bidi="fa-IR"/>
        </w:rPr>
        <w:softHyphen/>
        <w:t>ای که مجوّز استعمال مجازی آن در مراتب ديگر می</w:t>
      </w:r>
      <w:r>
        <w:rPr>
          <w:rFonts w:cs="2  Mitra" w:hint="cs"/>
          <w:color w:val="000000" w:themeColor="text1"/>
          <w:spacing w:val="-4"/>
          <w:sz w:val="28"/>
          <w:szCs w:val="28"/>
          <w:rtl/>
          <w:lang w:bidi="fa-IR"/>
        </w:rPr>
        <w:softHyphen/>
        <w:t>شود اختلاف داشته باشد، در اين صورت رابطه</w:t>
      </w:r>
      <w:r>
        <w:rPr>
          <w:rFonts w:cs="2  Mitra" w:hint="cs"/>
          <w:color w:val="000000" w:themeColor="text1"/>
          <w:spacing w:val="-4"/>
          <w:sz w:val="28"/>
          <w:szCs w:val="28"/>
          <w:rtl/>
        </w:rPr>
        <w:t xml:space="preserve"> میان مراتب متعدد تباین خواهد بود و لفظ در هیچ‌کدام آنها ظهور نخواهد داشت و مجمل می‌شود، چون ترجیح یکی بر دیگری بدون مرجّح است. در این فرض، عام و خاص مانند سایر مجازات خواهد بود که برای تعیین معنا به قرینه‌ی افزون نیاز دارند.</w:t>
      </w:r>
    </w:p>
    <w:p w14:paraId="2F1FA7B7"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امّا احتمال اخير بسیار بعید است. بنابر این می‌توان گفت نظر شیخ انصاری ناظر به همین مطلبی است که توضیح دادیم.</w:t>
      </w:r>
      <w:r>
        <w:rPr>
          <w:rStyle w:val="FootnoteReference"/>
          <w:rFonts w:cs="2  Mitra"/>
          <w:sz w:val="28"/>
          <w:szCs w:val="28"/>
          <w:rtl/>
        </w:rPr>
        <w:footnoteReference w:id="2"/>
      </w:r>
    </w:p>
    <w:p w14:paraId="6C71F0F1"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ولی اشکال اين توجيه اين است که اولاً: با ظاهر مدعای مرحوم شیخ سازگار نیست؛ زیرا ایشان برای حمل عام پس از تخصیص بر معنایی که شامل تمام افراد باقی‌مانده باشد، به اصل عدم مانع تمسّک کرده‌اند، در حالی که در توجیه مرحوم آیت‌الله روحانی، حمل مذکور متوقف بر جریان این اصل نیست.</w:t>
      </w:r>
    </w:p>
    <w:p w14:paraId="6A35491B"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lastRenderedPageBreak/>
        <w:t>ثانياً: ادعای این‌که در صورت اتحاد علاقه‌ای که مجوّز استعمال مجازی لفظ عام در مراتب مختلف است، بالاترین مرتبه، جامع همه‌ی مراتب خواهد بود، صحیح نیست؛ زیرا دلالت لفظ بر مراتب پایین بدین معناست که معنای مستعمل‌فیه لفظ به گونه‌ای است که افراد خارج از آن مرتبه را در بر نمی‌گیرد، حال آن که در مراتب بالاتر، معنای مستعمل‌فیه شامل همان افراد زائد می‌شود.</w:t>
      </w:r>
    </w:p>
    <w:p w14:paraId="19427EE2"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به عبارت دیگر: تفاوت است میان این‌که یک مرتبه واجد افرادی باشد که در مرتبه مادون آن نیز قرار می‌گیرند، با این که واجد خود مرتبه مادون باشد. همان‌گونه که اگر از ترکیب اجزای خاصی وسیله‌ای ساخته شود و سپس آن اجزا از هم تفکیک شوند و از ترکیب همان اجزا همراه با اجزای دیگری وسیله‌ای دوم پدید آید، نمی‌توان ادعا کرد که وسیله دوم متضمن وسیله اول است، بلکه نهایتاً می‌توان گفت وسیله دوم شامل اجزایی است که از ترکیب آن‌ها وسیله نخست ساخته شده بود.</w:t>
      </w:r>
    </w:p>
    <w:p w14:paraId="270A510F"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بنابر این هر کدام از معانی</w:t>
      </w:r>
      <w:r>
        <w:rPr>
          <w:rFonts w:cs="2  Mitra" w:hint="cs"/>
          <w:color w:val="000000" w:themeColor="text1"/>
          <w:spacing w:val="-2"/>
          <w:sz w:val="28"/>
          <w:szCs w:val="28"/>
          <w:rtl/>
        </w:rPr>
        <w:softHyphen/>
        <w:t>ای که لفظ عام در استعمال مجازی در آنها استعمال می</w:t>
      </w:r>
      <w:r>
        <w:rPr>
          <w:rFonts w:cs="2  Mitra" w:hint="cs"/>
          <w:color w:val="000000" w:themeColor="text1"/>
          <w:spacing w:val="-2"/>
          <w:sz w:val="28"/>
          <w:szCs w:val="28"/>
          <w:rtl/>
        </w:rPr>
        <w:softHyphen/>
        <w:t>شود با معانی ديگر مجازی، تباین دارد و حمل لفظ بر بالاترین مرتبه، موجب شمول آن نسبت به مراتب پایین‌تر نخواهد شد.</w:t>
      </w:r>
    </w:p>
    <w:p w14:paraId="51D485B0"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در نتیجه حتی اگر صرف جزئیت برای استعمال مجازی کافی باشد، یا افزون بر آن، شرطی نیز برای استعمال مجازی لازم باشد که در همه مراتب مشترک باشد، باز هم نمی‌توان لفظ را بر بالاترین مرتبه حمل کرد، بلکه در این صورت نیز لفظ مجمل خواهد بود.</w:t>
      </w:r>
    </w:p>
    <w:p w14:paraId="61199796" w14:textId="77777777" w:rsidR="00C428F2" w:rsidRDefault="00C428F2" w:rsidP="00C428F2">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ثالثاً: اگر ادعای ایشان پذیرفته شود، در فرضی که مجوّز استعمال مجازی در همه مراتب مشترک باشد، باید لفظ را بر پایین‌ترین مرتبه حمل کرد نه بالاترین مرتبه؛ زیرا قدر متیقّن از معنایی که لفظ بر آن دلالت دارد مرتبه‌ی پایین‌تر است و دلالت لفظ بر مراتب بالاتر، نیازمند مؤونه‌ی زائده خواهد بود.</w:t>
      </w:r>
    </w:p>
    <w:p w14:paraId="2DD94FDA" w14:textId="77777777" w:rsidR="00C428F2" w:rsidRDefault="00C428F2" w:rsidP="00C428F2">
      <w:pPr>
        <w:rPr>
          <w:rFonts w:cs="2  Mitra"/>
          <w:color w:val="000000" w:themeColor="text1"/>
          <w:spacing w:val="-4"/>
          <w:sz w:val="28"/>
          <w:szCs w:val="28"/>
        </w:rPr>
      </w:pPr>
      <w:r>
        <w:rPr>
          <w:rFonts w:cs="2  Mitra" w:hint="cs"/>
          <w:color w:val="000000" w:themeColor="text1"/>
          <w:spacing w:val="-4"/>
          <w:sz w:val="28"/>
          <w:szCs w:val="28"/>
          <w:rtl/>
        </w:rPr>
        <w:br w:type="page"/>
      </w:r>
    </w:p>
    <w:p w14:paraId="04D9296D"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lastRenderedPageBreak/>
        <w:t>أوضحنا في الجلسة السابقة الإشکالات الواردة على تقرير الشيخ حول مسألة التمسّك بالعامّ بعد ورود الخاصّ.</w:t>
      </w:r>
    </w:p>
    <w:p w14:paraId="1A16FC2A"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غير أنّ السيّد الروحاني حاول أن يوجّه كلام الشيخ، فقال: إن كان مجرّد وجود علاقة الجزئيّة كافياً في صحّة الاستعمال المجازي، فبما أنّ اللفظ مرتبط بجميع مراتب الجزء وهذه المراتب تقع في طول بعضها، فإنّ اللفظ سيظهر في أعلى هذه المراتب، لأنّها المرتبة الجامعة لجميع ما دونها.</w:t>
      </w:r>
    </w:p>
    <w:p w14:paraId="7ED48842"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وإن كان جواز الاستعمال المجازي مشروطاً بوجود أمر زائد علی مجرّد الجزئيّة وكان ذلك الأمر مشتركاً بين جميع المراتب، فحينئذٍ تكون المسألة كالصورة السابقة ولا يحصل الإجمال أيضاً.</w:t>
      </w:r>
    </w:p>
    <w:p w14:paraId="3A7C443D"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أمّا إذا كانت العلقة المجيزة للاستعمال المجازي للّفظ العامّ في كلّ مرتبة تختلف عن العلقة المجيزة له في المراتب الأُخرى، فعندئذٍ تكون العلاقة بين هذه المراتب علاقة تباين ولا يكون اللفظ ظاهراً في أيّ منها، فيصبح مجملاً، لأنّ ترجيح إحداها على الأُخرى بلا مرجّح. وفي هذه الصورة يكون حال العامّ والخاصّ كحال سائر المجازات التي تحتاج في تعيين المراد إلى قرينة زائدة.</w:t>
      </w:r>
    </w:p>
    <w:p w14:paraId="4C52A02A" w14:textId="77777777" w:rsidR="00C428F2" w:rsidRDefault="00C428F2" w:rsidP="00C428F2">
      <w:pPr>
        <w:widowControl w:val="0"/>
        <w:bidi/>
        <w:spacing w:after="0"/>
        <w:ind w:firstLine="284"/>
        <w:jc w:val="both"/>
        <w:rPr>
          <w:rFonts w:cs="Abz-2 (Badr)"/>
          <w:color w:val="000000" w:themeColor="text1"/>
          <w:spacing w:val="-2"/>
          <w:sz w:val="28"/>
          <w:szCs w:val="28"/>
        </w:rPr>
      </w:pPr>
      <w:r>
        <w:rPr>
          <w:rFonts w:cs="Abz-2 (Badr)" w:hint="cs"/>
          <w:color w:val="000000" w:themeColor="text1"/>
          <w:spacing w:val="-2"/>
          <w:sz w:val="28"/>
          <w:szCs w:val="28"/>
          <w:rtl/>
        </w:rPr>
        <w:t>إلّا أنّ الاحتمال الأخير بعيد جدّاً. وعليه يمكن القول بأنّ مراد الشيخ الأعظم هو هذا المعنى الذي بيّنّاه.</w:t>
      </w:r>
      <w:r>
        <w:rPr>
          <w:rStyle w:val="FootnoteReference"/>
          <w:rFonts w:cs="Abz-2 (Badr)"/>
          <w:sz w:val="28"/>
          <w:szCs w:val="28"/>
          <w:rtl/>
        </w:rPr>
        <w:footnoteReference w:id="3"/>
      </w:r>
    </w:p>
    <w:p w14:paraId="18D75A74"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لكنّ الإشكال على هذا التوجيه هو أنّه أوّلاً: لا ينسجم مع ظاهر دعوی الشيخ، لأنّه قد تمسّك بأصل عدم المانع في حمل العامّ بعد التخصيص على معنىً يشمل جميع الأفراد الباقية، في حين أنّ هذا الحمل بحسب توجيه السيّد الروحاني لا يتوقّف على جريان هذا الأصل.</w:t>
      </w:r>
    </w:p>
    <w:p w14:paraId="18B5DCE6"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ثانياً: إنّ الادّعاء بأنّه إذا اتّحدت العلقة المجيزة للاستعمال المجازي للّفظ العامّ في المراتب المختلفة فستكون أعلى تلك المراتب جامعة لجميع ما دونها، غير صحيح؛ لأنّ دلالة اللفظ على المراتب الدانية تعني أنّ المستعمل فيه للّفظ يكون على نحو لا يشمل الأفراد الزائدة الخارجة عن تلك المرتبة، بينما يكون المستعمل فيه في المراتب العليا شاملاً لتلك الأفراد الزائدة.</w:t>
      </w:r>
    </w:p>
    <w:p w14:paraId="13E82558" w14:textId="77777777" w:rsidR="00C428F2" w:rsidRDefault="00C428F2" w:rsidP="00C428F2">
      <w:pPr>
        <w:widowControl w:val="0"/>
        <w:bidi/>
        <w:spacing w:after="0"/>
        <w:ind w:firstLine="284"/>
        <w:jc w:val="both"/>
        <w:rPr>
          <w:rFonts w:cs="Abz-2 (Badr)"/>
          <w:color w:val="000000" w:themeColor="text1"/>
          <w:spacing w:val="-2"/>
          <w:sz w:val="28"/>
          <w:szCs w:val="28"/>
        </w:rPr>
      </w:pPr>
      <w:r>
        <w:rPr>
          <w:rFonts w:cs="Abz-2 (Badr)" w:hint="cs"/>
          <w:color w:val="000000" w:themeColor="text1"/>
          <w:spacing w:val="-2"/>
          <w:sz w:val="28"/>
          <w:szCs w:val="28"/>
          <w:rtl/>
        </w:rPr>
        <w:t xml:space="preserve">وبعبارة أُخرى: هناك فرق بيّن بين أن تكون مرتبة ما مشتملة على أفراد تقع في مرتبة أدنی منه، وبين أن تكون مشتملة على تلك المرتبة الأدنى نفسه بما هي مرتبة مستقلّة. كما أنّه لو صنعت آلة معيّنة من تركيب أجزاء مخصوصة ثمّ فكّكت تلك الأجزاء وصنعت آلة أُخرى من الأجزاء نفسها مع ضمّ أجزاء إضافيّة إليها، لم يصحّ القول بأنّ الآلة الثانية متضمّنة للآلة الأُولى، </w:t>
      </w:r>
      <w:r>
        <w:rPr>
          <w:rFonts w:cs="Abz-2 (Badr)" w:hint="cs"/>
          <w:color w:val="000000" w:themeColor="text1"/>
          <w:spacing w:val="-2"/>
          <w:sz w:val="28"/>
          <w:szCs w:val="28"/>
          <w:rtl/>
        </w:rPr>
        <w:lastRenderedPageBreak/>
        <w:t>بل غايته أنّ الآلة الثانية مشتملة على الأجزاء التي كان تركيبها يؤلّف الآلة الأُولى.</w:t>
      </w:r>
    </w:p>
    <w:p w14:paraId="4BED66E0" w14:textId="77777777" w:rsidR="00C428F2" w:rsidRDefault="00C428F2" w:rsidP="00C428F2">
      <w:pPr>
        <w:widowControl w:val="0"/>
        <w:bidi/>
        <w:spacing w:after="0"/>
        <w:ind w:firstLine="284"/>
        <w:jc w:val="both"/>
        <w:rPr>
          <w:rFonts w:cs="Abz-2 (Badr)"/>
          <w:color w:val="000000" w:themeColor="text1"/>
          <w:spacing w:val="-2"/>
          <w:sz w:val="28"/>
          <w:szCs w:val="28"/>
        </w:rPr>
      </w:pPr>
      <w:r>
        <w:rPr>
          <w:rFonts w:cs="Abz-2 (Badr)" w:hint="cs"/>
          <w:color w:val="000000" w:themeColor="text1"/>
          <w:spacing w:val="-2"/>
          <w:sz w:val="28"/>
          <w:szCs w:val="28"/>
          <w:rtl/>
        </w:rPr>
        <w:t>ومن ثمّ فإنّ كلّ واحد من المعاني التي يستعمل فيها اللفظ العامّ استعمالاً مجازيّاً، يكون مبايناً للمعاني المجازية الأُخرى، ولا يقتضي حمل اللفظ على أعلى المراتب شموله للمراتب الأدنى.</w:t>
      </w:r>
    </w:p>
    <w:p w14:paraId="6D908B45"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 xml:space="preserve">وعليه فحتّى لو كان مجرّد الجزئيّة كافياً في صحّة الاستعمال المجازي، أو كان هناك </w:t>
      </w:r>
      <w:r>
        <w:rPr>
          <w:rFonts w:cs="Abz-2 (Badr)" w:hint="cs"/>
          <w:color w:val="000000" w:themeColor="text1"/>
          <w:spacing w:val="-2"/>
          <w:sz w:val="28"/>
          <w:szCs w:val="28"/>
          <w:rtl/>
          <w:lang w:bidi="fa-IR"/>
        </w:rPr>
        <w:t>أ</w:t>
      </w:r>
      <w:r>
        <w:rPr>
          <w:rFonts w:cs="Abz-2 (Badr)" w:hint="cs"/>
          <w:color w:val="000000" w:themeColor="text1"/>
          <w:spacing w:val="-2"/>
          <w:sz w:val="28"/>
          <w:szCs w:val="28"/>
          <w:rtl/>
        </w:rPr>
        <w:t>مر آخر مضاف إليها لازم في الاستعمال المجازي وكان ذلك الأمر مشتركاً بين جميع المراتب، فإنّه لا يصحّ أيضاً حمل اللفظ على أعلى المراتب، بل يكون اللفظ في هذه الصورة مجملاً کذلك.</w:t>
      </w:r>
    </w:p>
    <w:p w14:paraId="5D3BC57C" w14:textId="77777777" w:rsidR="00C428F2" w:rsidRDefault="00C428F2" w:rsidP="00C428F2">
      <w:pPr>
        <w:widowControl w:val="0"/>
        <w:bidi/>
        <w:spacing w:after="0"/>
        <w:ind w:firstLine="284"/>
        <w:jc w:val="both"/>
        <w:rPr>
          <w:rFonts w:cs="Abz-2 (Badr)" w:hint="cs"/>
          <w:color w:val="000000" w:themeColor="text1"/>
          <w:spacing w:val="-2"/>
          <w:sz w:val="28"/>
          <w:szCs w:val="28"/>
          <w:rtl/>
        </w:rPr>
      </w:pPr>
      <w:r>
        <w:rPr>
          <w:rFonts w:cs="Abz-2 (Badr)" w:hint="cs"/>
          <w:color w:val="000000" w:themeColor="text1"/>
          <w:spacing w:val="-2"/>
          <w:sz w:val="28"/>
          <w:szCs w:val="28"/>
          <w:rtl/>
        </w:rPr>
        <w:t>ثالثاً: لو سلّم بادّعا</w:t>
      </w:r>
      <w:r>
        <w:rPr>
          <w:rFonts w:cs="Abz-2 (Badr)" w:hint="cs"/>
          <w:color w:val="000000" w:themeColor="text1"/>
          <w:spacing w:val="-2"/>
          <w:sz w:val="28"/>
          <w:szCs w:val="28"/>
          <w:rtl/>
          <w:lang w:bidi="fa-IR"/>
        </w:rPr>
        <w:t>ء السيّد الروحاني</w:t>
      </w:r>
      <w:r>
        <w:rPr>
          <w:rFonts w:cs="Abz-2 (Badr)" w:hint="cs"/>
          <w:color w:val="000000" w:themeColor="text1"/>
          <w:spacing w:val="-2"/>
          <w:sz w:val="28"/>
          <w:szCs w:val="28"/>
          <w:rtl/>
        </w:rPr>
        <w:t xml:space="preserve">، ففي الفرض الذي يكون فيه مجوّز الاستعمال المجازي مشتركاً بين جميع المراتب، ينبغي حمل اللفظ على أدون المراتب لا على أعلاها؛ لأنّ القدر المتيقّن من المعنى الذي يدلّ عليه اللفظ هو المرتبة الدنيا، وأمّا دلالته على </w:t>
      </w:r>
      <w:r>
        <w:rPr>
          <w:rFonts w:cs="Abz-2 (Badr)" w:hint="cs"/>
          <w:color w:val="000000" w:themeColor="text1"/>
          <w:spacing w:val="-2"/>
          <w:sz w:val="28"/>
          <w:szCs w:val="28"/>
          <w:rtl/>
          <w:lang w:bidi="ar-YE"/>
        </w:rPr>
        <w:t xml:space="preserve">ما فوقها من المعاني </w:t>
      </w:r>
      <w:r>
        <w:rPr>
          <w:rFonts w:cs="Abz-2 (Badr)" w:hint="cs"/>
          <w:color w:val="000000" w:themeColor="text1"/>
          <w:spacing w:val="-2"/>
          <w:sz w:val="28"/>
          <w:szCs w:val="28"/>
          <w:rtl/>
        </w:rPr>
        <w:t>فتحتاج إلى مؤونة زائدة.</w:t>
      </w:r>
    </w:p>
    <w:p w14:paraId="591403C8" w14:textId="77777777" w:rsidR="00C428F2" w:rsidRDefault="00C428F2" w:rsidP="00C428F2">
      <w:pPr>
        <w:widowControl w:val="0"/>
        <w:bidi/>
        <w:spacing w:after="0"/>
        <w:ind w:firstLine="284"/>
        <w:jc w:val="both"/>
        <w:rPr>
          <w:rFonts w:cs="2  Mitra"/>
          <w:color w:val="000000" w:themeColor="text1"/>
          <w:spacing w:val="-2"/>
          <w:sz w:val="28"/>
          <w:szCs w:val="28"/>
        </w:rPr>
      </w:pPr>
    </w:p>
    <w:p w14:paraId="7D9979DE" w14:textId="26D41A3F" w:rsidR="001B24FC" w:rsidRPr="00C428F2" w:rsidRDefault="001B24FC" w:rsidP="00C428F2">
      <w:pPr>
        <w:rPr>
          <w:rtl/>
        </w:rPr>
      </w:pPr>
    </w:p>
    <w:sectPr w:rsidR="001B24FC" w:rsidRPr="00C428F2"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FCE6" w14:textId="77777777" w:rsidR="009577FC" w:rsidRDefault="009577FC" w:rsidP="00C336C5">
      <w:pPr>
        <w:spacing w:after="0" w:line="240" w:lineRule="auto"/>
      </w:pPr>
      <w:r>
        <w:separator/>
      </w:r>
    </w:p>
  </w:endnote>
  <w:endnote w:type="continuationSeparator" w:id="0">
    <w:p w14:paraId="4D0E013E" w14:textId="77777777" w:rsidR="009577FC" w:rsidRDefault="009577FC" w:rsidP="00C336C5">
      <w:pPr>
        <w:spacing w:after="0" w:line="240" w:lineRule="auto"/>
      </w:pPr>
      <w:r>
        <w:continuationSeparator/>
      </w:r>
    </w:p>
  </w:endnote>
  <w:endnote w:type="continuationNotice" w:id="1">
    <w:p w14:paraId="5270107D" w14:textId="77777777" w:rsidR="009577FC" w:rsidRDefault="00957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6AE43" w14:textId="77777777" w:rsidR="009577FC" w:rsidRDefault="009577FC" w:rsidP="00C336C5">
      <w:pPr>
        <w:bidi/>
        <w:spacing w:after="0" w:line="240" w:lineRule="auto"/>
      </w:pPr>
      <w:r>
        <w:separator/>
      </w:r>
    </w:p>
  </w:footnote>
  <w:footnote w:type="continuationSeparator" w:id="0">
    <w:p w14:paraId="0013A6D6" w14:textId="77777777" w:rsidR="009577FC" w:rsidRDefault="009577FC" w:rsidP="00C336C5">
      <w:pPr>
        <w:spacing w:after="0" w:line="240" w:lineRule="auto"/>
      </w:pPr>
      <w:r>
        <w:continuationSeparator/>
      </w:r>
    </w:p>
  </w:footnote>
  <w:footnote w:type="continuationNotice" w:id="1">
    <w:p w14:paraId="08D770F0" w14:textId="77777777" w:rsidR="009577FC" w:rsidRDefault="009577FC">
      <w:pPr>
        <w:spacing w:after="0" w:line="240" w:lineRule="auto"/>
      </w:pPr>
    </w:p>
  </w:footnote>
  <w:footnote w:id="2">
    <w:p w14:paraId="6FE1F269" w14:textId="77777777" w:rsidR="00C428F2" w:rsidRDefault="00C428F2" w:rsidP="00C428F2">
      <w:pPr>
        <w:pStyle w:val="FootnoteText"/>
        <w:bidi/>
        <w:jc w:val="left"/>
        <w:rPr>
          <w:rFonts w:cs="Abz-2 (Badr)"/>
          <w:lang w:bidi="fa-IR"/>
        </w:rPr>
      </w:pPr>
      <w:r>
        <w:rPr>
          <w:rFonts w:cs="Abz-2 (Badr)"/>
          <w:lang w:bidi="fa-IR"/>
        </w:rPr>
        <w:footnoteRef/>
      </w:r>
      <w:r>
        <w:rPr>
          <w:rFonts w:cs="Abz-2 (Badr)" w:hint="cs"/>
          <w:rtl/>
          <w:lang w:bidi="fa-IR"/>
        </w:rPr>
        <w:t xml:space="preserve"> ـ راجع: منتقی الأُصول،ج3،ص312 و 313.</w:t>
      </w:r>
    </w:p>
  </w:footnote>
  <w:footnote w:id="3">
    <w:p w14:paraId="4A1D8F6B" w14:textId="77777777" w:rsidR="00C428F2" w:rsidRDefault="00C428F2" w:rsidP="00C428F2">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الأُصول،ج3،ص312 و 313.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880B4C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C428F2">
                            <w:rPr>
                              <w:rFonts w:cs="B Mehr" w:hint="cs"/>
                              <w:rtl/>
                              <w:lang w:bidi="fa-IR"/>
                            </w:rPr>
                            <w:t>چهار</w:t>
                          </w:r>
                          <w:r w:rsidR="0070502A">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428F2">
                            <w:rPr>
                              <w:rFonts w:cs="B Mehr" w:hint="cs"/>
                              <w:rtl/>
                              <w:lang w:bidi="fa-IR"/>
                            </w:rPr>
                            <w:t>12</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880B4C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C428F2">
                      <w:rPr>
                        <w:rFonts w:cs="B Mehr" w:hint="cs"/>
                        <w:rtl/>
                        <w:lang w:bidi="fa-IR"/>
                      </w:rPr>
                      <w:t>چهار</w:t>
                    </w:r>
                    <w:r w:rsidR="0070502A">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428F2">
                      <w:rPr>
                        <w:rFonts w:cs="B Mehr" w:hint="cs"/>
                        <w:rtl/>
                        <w:lang w:bidi="fa-IR"/>
                      </w:rPr>
                      <w:t>12</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7FC"/>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28F2"/>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12510077">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1264</cp:revision>
  <cp:lastPrinted>2025-04-15T09:36:00Z</cp:lastPrinted>
  <dcterms:created xsi:type="dcterms:W3CDTF">2022-10-16T08:36:00Z</dcterms:created>
  <dcterms:modified xsi:type="dcterms:W3CDTF">2025-12-06T06:37:00Z</dcterms:modified>
</cp:coreProperties>
</file>