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39116" w14:textId="77777777" w:rsidR="00403F13" w:rsidRDefault="00403F13" w:rsidP="00403F13">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111C725" w14:textId="77777777" w:rsidR="00403F13" w:rsidRDefault="00403F13" w:rsidP="00403F13">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42119B3A" w14:textId="77777777" w:rsidR="00403F13" w:rsidRDefault="00403F13" w:rsidP="00403F13">
      <w:pPr>
        <w:widowControl w:val="0"/>
        <w:bidi/>
        <w:spacing w:after="240"/>
        <w:jc w:val="center"/>
        <w:rPr>
          <w:rFonts w:cs="B Mitra" w:hint="cs"/>
          <w:b/>
          <w:bCs/>
          <w:sz w:val="32"/>
          <w:szCs w:val="32"/>
          <w:rtl/>
          <w:lang w:bidi="fa-IR"/>
        </w:rPr>
      </w:pPr>
      <w:r>
        <w:rPr>
          <w:rFonts w:cs="B Mitra" w:hint="cs"/>
          <w:b/>
          <w:bCs/>
          <w:sz w:val="32"/>
          <w:szCs w:val="32"/>
          <w:rtl/>
          <w:lang w:bidi="fa-IR"/>
        </w:rPr>
        <w:t>جلسه 976</w:t>
      </w:r>
    </w:p>
    <w:bookmarkEnd w:id="0"/>
    <w:p w14:paraId="387CD02B" w14:textId="77777777" w:rsidR="00403F13" w:rsidRDefault="00403F13" w:rsidP="00403F13">
      <w:pPr>
        <w:widowControl w:val="0"/>
        <w:bidi/>
        <w:spacing w:before="240" w:line="261" w:lineRule="auto"/>
        <w:ind w:firstLine="289"/>
        <w:jc w:val="both"/>
        <w:rPr>
          <w:rFonts w:cs="2  Mitra" w:hint="cs"/>
          <w:sz w:val="28"/>
          <w:szCs w:val="28"/>
          <w:rtl/>
        </w:rPr>
      </w:pPr>
    </w:p>
    <w:p w14:paraId="274AE221" w14:textId="77777777" w:rsidR="00403F13" w:rsidRDefault="00403F13" w:rsidP="00403F13">
      <w:pPr>
        <w:widowControl w:val="0"/>
        <w:bidi/>
        <w:spacing w:before="240" w:line="252" w:lineRule="auto"/>
        <w:ind w:firstLine="284"/>
        <w:jc w:val="both"/>
        <w:rPr>
          <w:rFonts w:cs="2  Mitra" w:hint="cs"/>
          <w:color w:val="000000" w:themeColor="text1"/>
          <w:spacing w:val="-2"/>
          <w:sz w:val="28"/>
          <w:szCs w:val="28"/>
          <w:rtl/>
        </w:rPr>
      </w:pPr>
      <w:r>
        <w:rPr>
          <w:rFonts w:cs="2  Mitra" w:hint="cs"/>
          <w:color w:val="000000" w:themeColor="text1"/>
          <w:spacing w:val="-2"/>
          <w:sz w:val="28"/>
          <w:szCs w:val="28"/>
          <w:rtl/>
        </w:rPr>
        <w:t>به مدعای عدم حجیت عام بعد از تخصیص با مخصّص مبيّن، پاسخ</w:t>
      </w:r>
      <w:r>
        <w:rPr>
          <w:rFonts w:cs="2  Mitra" w:hint="cs"/>
          <w:color w:val="000000" w:themeColor="text1"/>
          <w:spacing w:val="-2"/>
          <w:sz w:val="28"/>
          <w:szCs w:val="28"/>
          <w:rtl/>
        </w:rPr>
        <w:softHyphen/>
        <w:t>های دیگری نیز داده شده است که برخی از آنها را بررسی می</w:t>
      </w:r>
      <w:r>
        <w:rPr>
          <w:rFonts w:cs="2  Mitra" w:hint="cs"/>
          <w:color w:val="000000" w:themeColor="text1"/>
          <w:spacing w:val="-2"/>
          <w:sz w:val="28"/>
          <w:szCs w:val="28"/>
          <w:cs/>
          <w:lang w:bidi="fa-IR"/>
        </w:rPr>
        <w:t>‎</w:t>
      </w:r>
      <w:r>
        <w:rPr>
          <w:rFonts w:cs="2  Mitra" w:hint="cs"/>
          <w:color w:val="000000" w:themeColor="text1"/>
          <w:spacing w:val="-2"/>
          <w:sz w:val="28"/>
          <w:szCs w:val="28"/>
          <w:rtl/>
        </w:rPr>
        <w:t>کنيم.</w:t>
      </w:r>
    </w:p>
    <w:p w14:paraId="7ED1E407" w14:textId="77777777" w:rsidR="00403F13" w:rsidRDefault="00403F13" w:rsidP="00403F13">
      <w:pPr>
        <w:widowControl w:val="0"/>
        <w:tabs>
          <w:tab w:val="num" w:pos="1440"/>
        </w:tabs>
        <w:bidi/>
        <w:spacing w:before="240" w:line="252" w:lineRule="auto"/>
        <w:ind w:firstLine="284"/>
        <w:jc w:val="both"/>
        <w:rPr>
          <w:rFonts w:cs="2  Mitra" w:hint="cs"/>
          <w:color w:val="000000" w:themeColor="text1"/>
          <w:spacing w:val="2"/>
          <w:sz w:val="28"/>
          <w:szCs w:val="28"/>
          <w:rtl/>
          <w:lang w:bidi="fa-IR"/>
        </w:rPr>
      </w:pPr>
      <w:r>
        <w:rPr>
          <w:rFonts w:ascii="Neirizi" w:hAnsi="Neirizi" w:cs="Neirizi"/>
          <w:spacing w:val="-2"/>
          <w:sz w:val="24"/>
          <w:szCs w:val="24"/>
          <w:rtl/>
          <w:lang w:bidi="fa-IR"/>
        </w:rPr>
        <w:t xml:space="preserve">پاسخ اول: </w:t>
      </w:r>
      <w:r>
        <w:rPr>
          <w:rFonts w:cs="2  Mitra" w:hint="cs"/>
          <w:color w:val="000000" w:themeColor="text1"/>
          <w:spacing w:val="-2"/>
          <w:sz w:val="28"/>
          <w:szCs w:val="28"/>
          <w:rtl/>
        </w:rPr>
        <w:t>مرحوم میرزای قمی با پذیرش این نکته که پس از ورود خاص، درمی‌یابیم عام در معنای موضوع‌له خود استعمال نشده و استعمال آن مجازی است، در برابر این اشکال که در چنین حالتی امر دائر میان مجازات متعدّد خواهد بود و تعیین یکی از آنها نیازمند دلیلی است که در مقام موجود نیست و نتیجه آن، اجمال عام پس از ورود خاص خواهد بود، چنین پاسخ داده‌اند: اجمال و نبود مرجّح را نمی‌پذیریم، زیرا «اقربیت به عام» خود مرجّح است، و همان گونه که تبادر نشانه حقیقت است، ظهور رابطه نیز نشانه تعیین معنای مجازی خواهد بود؛ چراکه اساس مباحث الفاظ بر ظنون بنا نهاده شده است.</w:t>
      </w:r>
      <w:r>
        <w:rPr>
          <w:rStyle w:val="FootnoteReference"/>
          <w:rFonts w:cs="2  Mitra"/>
          <w:spacing w:val="2"/>
          <w:sz w:val="28"/>
          <w:szCs w:val="28"/>
          <w:rtl/>
        </w:rPr>
        <w:footnoteReference w:id="2"/>
      </w:r>
    </w:p>
    <w:p w14:paraId="5525CACA" w14:textId="77777777" w:rsidR="00403F13" w:rsidRDefault="00403F13" w:rsidP="00403F13">
      <w:pPr>
        <w:widowControl w:val="0"/>
        <w:bidi/>
        <w:spacing w:before="240" w:line="252" w:lineRule="auto"/>
        <w:ind w:firstLine="284"/>
        <w:jc w:val="both"/>
        <w:rPr>
          <w:rFonts w:cs="2  Mitra" w:hint="cs"/>
          <w:color w:val="000000" w:themeColor="text1"/>
          <w:sz w:val="28"/>
          <w:szCs w:val="28"/>
          <w:rtl/>
          <w:lang w:bidi="fa-IR"/>
        </w:rPr>
      </w:pPr>
      <w:bookmarkStart w:id="1" w:name="_Hlk215321703"/>
      <w:r>
        <w:rPr>
          <w:rFonts w:cs="2  Mitra" w:hint="cs"/>
          <w:color w:val="000000" w:themeColor="text1"/>
          <w:sz w:val="28"/>
          <w:szCs w:val="28"/>
          <w:rtl/>
          <w:lang w:bidi="fa-IR"/>
        </w:rPr>
        <w:t>اما مرحوم شيخ در اشکال بر اين بيان، می</w:t>
      </w:r>
      <w:r>
        <w:rPr>
          <w:rFonts w:cs="2  Mitra" w:hint="cs"/>
          <w:color w:val="000000" w:themeColor="text1"/>
          <w:sz w:val="28"/>
          <w:szCs w:val="28"/>
          <w:rtl/>
          <w:lang w:bidi="fa-IR"/>
        </w:rPr>
        <w:softHyphen/>
        <w:t xml:space="preserve">فرماید: </w:t>
      </w:r>
      <w:r>
        <w:rPr>
          <w:rFonts w:cs="2  Mitra" w:hint="cs"/>
          <w:color w:val="000000" w:themeColor="text1"/>
          <w:sz w:val="28"/>
          <w:szCs w:val="28"/>
          <w:rtl/>
        </w:rPr>
        <w:t>اگر مقصود از «اقربیت» همان اقربیتی باشد که در باب ترجیح معتبر است، تحقّق آن را نمی‌پذیریم؛ زیرا اقربیت معتبر آن است که وابسته به غلبه‌ی استعمال لفظ پس از صرف آن از معنای حقیقی باشد، مانند استعمال لفظ «اسد» در «مرد شجاع» نه در «مرد گَنده</w:t>
      </w:r>
      <w:r>
        <w:rPr>
          <w:rFonts w:cs="2  Mitra" w:hint="cs"/>
          <w:color w:val="000000" w:themeColor="text1"/>
          <w:sz w:val="28"/>
          <w:szCs w:val="28"/>
          <w:rtl/>
        </w:rPr>
        <w:softHyphen/>
        <w:t>دهان»، و راهی برای اثبات غلبه‌ی استعمال عام مخصّص در باقی وجود ندارد، زیرا مقصود از باقی، مصادیق آن است که بسیار متفاوت‌اند، پس غلبه‌ای در کار نخواهد بود</w:t>
      </w:r>
      <w:r>
        <w:rPr>
          <w:rFonts w:cs="2  Mitra" w:hint="cs"/>
          <w:color w:val="000000" w:themeColor="text1"/>
          <w:sz w:val="28"/>
          <w:szCs w:val="28"/>
          <w:rtl/>
          <w:lang w:bidi="fa-IR"/>
        </w:rPr>
        <w:t xml:space="preserve">. </w:t>
      </w:r>
      <w:r>
        <w:rPr>
          <w:rFonts w:cs="2  Mitra" w:hint="cs"/>
          <w:color w:val="000000" w:themeColor="text1"/>
          <w:sz w:val="28"/>
          <w:szCs w:val="28"/>
          <w:rtl/>
        </w:rPr>
        <w:t>و اگر مراد از «اقربیت» غیر این باشد، در مقام ترجیح کافی نخواهد بود.</w:t>
      </w:r>
      <w:r>
        <w:rPr>
          <w:rStyle w:val="FootnoteReference"/>
          <w:rFonts w:cs="2  Mitra"/>
          <w:sz w:val="28"/>
          <w:szCs w:val="28"/>
          <w:rtl/>
        </w:rPr>
        <w:footnoteReference w:id="3"/>
      </w:r>
    </w:p>
    <w:p w14:paraId="25E1971A" w14:textId="77777777" w:rsidR="00403F13" w:rsidRDefault="00403F13" w:rsidP="00403F13">
      <w:pPr>
        <w:widowControl w:val="0"/>
        <w:bidi/>
        <w:spacing w:before="240" w:line="252" w:lineRule="auto"/>
        <w:ind w:firstLine="284"/>
        <w:jc w:val="both"/>
        <w:rPr>
          <w:rFonts w:cs="2  Mitra"/>
          <w:color w:val="000000" w:themeColor="text1"/>
          <w:sz w:val="28"/>
          <w:szCs w:val="28"/>
        </w:rPr>
      </w:pPr>
      <w:bookmarkStart w:id="2" w:name="_Hlk215480290"/>
      <w:bookmarkEnd w:id="1"/>
      <w:r>
        <w:rPr>
          <w:rFonts w:cs="2  Mitra" w:hint="cs"/>
          <w:color w:val="000000" w:themeColor="text1"/>
          <w:sz w:val="28"/>
          <w:szCs w:val="28"/>
          <w:rtl/>
        </w:rPr>
        <w:t>اشکال شيخ بر مدعای ميرزای قمی اشکال واردی است؛ زیرا ظاهراً مقصود صاحب قوانین از «اقربیّت» این است که افراد باقی‌مانده بعد از تخصیص، از نظر تعداد، از سایر مراتب مجاز به معنای حقیقی لفظ، نزدیک‌تر می</w:t>
      </w:r>
      <w:r>
        <w:rPr>
          <w:rFonts w:cs="2  Mitra" w:hint="cs"/>
          <w:color w:val="000000" w:themeColor="text1"/>
          <w:sz w:val="28"/>
          <w:szCs w:val="28"/>
          <w:rtl/>
        </w:rPr>
        <w:softHyphen/>
        <w:t xml:space="preserve">باشند. امّا التزام به این‌که </w:t>
      </w:r>
      <w:r>
        <w:rPr>
          <w:rFonts w:cs="2  Mitra" w:hint="cs"/>
          <w:color w:val="000000" w:themeColor="text1"/>
          <w:sz w:val="28"/>
          <w:szCs w:val="28"/>
          <w:rtl/>
        </w:rPr>
        <w:lastRenderedPageBreak/>
        <w:t>اقربیّت به این معنا بتواند سبب ترجيح یکی از معانی مجازی بر دیگر معانی مجازی باشد، ممکن نیست.</w:t>
      </w:r>
    </w:p>
    <w:p w14:paraId="5A6E939D" w14:textId="77777777" w:rsidR="00403F13" w:rsidRDefault="00403F13" w:rsidP="00403F13">
      <w:pPr>
        <w:widowControl w:val="0"/>
        <w:bidi/>
        <w:spacing w:before="240" w:line="252" w:lineRule="auto"/>
        <w:ind w:firstLine="284"/>
        <w:jc w:val="both"/>
        <w:rPr>
          <w:rFonts w:cs="2  Mitra" w:hint="cs"/>
          <w:color w:val="000000" w:themeColor="text1"/>
          <w:sz w:val="28"/>
          <w:szCs w:val="28"/>
          <w:rtl/>
        </w:rPr>
      </w:pPr>
      <w:r>
        <w:rPr>
          <w:rFonts w:ascii="Neirizi" w:hAnsi="Neirizi" w:cs="Neirizi"/>
          <w:sz w:val="24"/>
          <w:szCs w:val="24"/>
          <w:rtl/>
          <w:lang w:bidi="fa-IR"/>
        </w:rPr>
        <w:t>پاسخ دوم:</w:t>
      </w:r>
      <w:r>
        <w:rPr>
          <w:rFonts w:ascii="Neirizi" w:hAnsi="Neirizi" w:cs="Neirizi"/>
          <w:spacing w:val="-2"/>
          <w:sz w:val="24"/>
          <w:szCs w:val="24"/>
          <w:rtl/>
          <w:lang w:bidi="fa-IR"/>
        </w:rPr>
        <w:t xml:space="preserve"> </w:t>
      </w:r>
      <w:r>
        <w:rPr>
          <w:rFonts w:cs="2  Mitra" w:hint="cs"/>
          <w:color w:val="000000" w:themeColor="text1"/>
          <w:sz w:val="28"/>
          <w:szCs w:val="28"/>
          <w:rtl/>
        </w:rPr>
        <w:t>مرحوم شيخ انصاری نيز با تسلیم به مجازی بودن دلالت عام بر باقی افراد بعد از ورود تخصیص می</w:t>
      </w:r>
      <w:r>
        <w:rPr>
          <w:rFonts w:cs="2  Mitra" w:hint="cs"/>
          <w:color w:val="000000" w:themeColor="text1"/>
          <w:sz w:val="28"/>
          <w:szCs w:val="28"/>
          <w:rtl/>
        </w:rPr>
        <w:softHyphen/>
        <w:t>فرمايد: تخصیص، افراد تازه‌ای را داخل مدلول عام نمی‌کند، بلکه فقط برخی افراد را بیرون می‌برد. بنابر این دلالت عام بر باقی افراد، همان دلالت پیشین آن است و متوقف بر شمول آن نسبت به افراد خارج‌شده نیست. پس مقتضی حمل عام بر باقی افراد وجود دارد و مانعی هم برای آن وجود ندارد؛ چون مخصّص تنها متعرّض غیر باقی است. بنابر این برخلاف سایر مجازات، شمول عام بر باقی متعیّن است و نیازی به تعیین‌کننده‌ی دیگر نیست.</w:t>
      </w:r>
      <w:r>
        <w:rPr>
          <w:rStyle w:val="FootnoteReference"/>
          <w:rFonts w:cs="2  Mitra"/>
          <w:sz w:val="28"/>
          <w:szCs w:val="28"/>
          <w:rtl/>
        </w:rPr>
        <w:footnoteReference w:id="4"/>
      </w:r>
    </w:p>
    <w:p w14:paraId="5F21DFB3" w14:textId="77777777" w:rsidR="00403F13" w:rsidRDefault="00403F13" w:rsidP="00403F13">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اما مرحوم آخوند در اشکال بر این استدلال می</w:t>
      </w:r>
      <w:r>
        <w:rPr>
          <w:rFonts w:cs="2  Mitra" w:hint="cs"/>
          <w:color w:val="000000" w:themeColor="text1"/>
          <w:sz w:val="28"/>
          <w:szCs w:val="28"/>
          <w:rtl/>
        </w:rPr>
        <w:softHyphen/>
        <w:t>فرماید: دلالت عام بر افراد، متفرع بر دلالت آن بر عموم است و پس از ترک استعمال در عموم، ظهوری در شمول آن بر باقی‌مانده‌ها مگر با قرینه وجود نخواهد داشت. بنابر این گرچه مانع با اصل دفع می‌شود، اما پس از رفع ید از وضع، اشکال در وجود مقتضی برای بقا خواهد بود نه در وجود مانع.</w:t>
      </w:r>
      <w:r>
        <w:rPr>
          <w:rStyle w:val="FootnoteReference"/>
          <w:rFonts w:cs="2  Mitra"/>
          <w:sz w:val="28"/>
          <w:szCs w:val="28"/>
          <w:rtl/>
        </w:rPr>
        <w:footnoteReference w:id="5"/>
      </w:r>
    </w:p>
    <w:p w14:paraId="318FC4EC" w14:textId="77777777" w:rsidR="00403F13" w:rsidRDefault="00403F13" w:rsidP="00403F13">
      <w:pPr>
        <w:widowControl w:val="0"/>
        <w:bidi/>
        <w:spacing w:before="240"/>
        <w:ind w:firstLine="284"/>
        <w:jc w:val="both"/>
        <w:rPr>
          <w:rFonts w:cs="2  Mitra"/>
          <w:color w:val="000000" w:themeColor="text1"/>
          <w:sz w:val="28"/>
          <w:szCs w:val="28"/>
          <w:lang w:bidi="fa-IR"/>
        </w:rPr>
      </w:pPr>
      <w:r>
        <w:rPr>
          <w:rFonts w:cs="2  Mitra" w:hint="cs"/>
          <w:color w:val="000000" w:themeColor="text1"/>
          <w:sz w:val="28"/>
          <w:szCs w:val="28"/>
          <w:rtl/>
          <w:lang w:bidi="fa-IR"/>
        </w:rPr>
        <w:t>اما مرحوم میرزای نایینی سعی در توجیه مدعای شیخ به نحوی نموده است که اشکال مرحوم آخوند بر آن وارد نگردد.</w:t>
      </w:r>
    </w:p>
    <w:p w14:paraId="738264FA" w14:textId="77777777" w:rsidR="00403F13" w:rsidRDefault="00403F13" w:rsidP="00403F13">
      <w:pPr>
        <w:widowControl w:val="0"/>
        <w:bidi/>
        <w:spacing w:before="240"/>
        <w:ind w:firstLine="284"/>
        <w:jc w:val="both"/>
        <w:rPr>
          <w:rFonts w:cs="2  Mitra" w:hint="cs"/>
          <w:color w:val="000000" w:themeColor="text1"/>
          <w:sz w:val="28"/>
          <w:szCs w:val="28"/>
          <w:rtl/>
          <w:lang w:bidi="fa-IR"/>
        </w:rPr>
      </w:pPr>
      <w:r>
        <w:rPr>
          <w:rFonts w:cs="2  Mitra" w:hint="cs"/>
          <w:color w:val="000000" w:themeColor="text1"/>
          <w:sz w:val="28"/>
          <w:szCs w:val="28"/>
          <w:rtl/>
          <w:lang w:bidi="fa-IR"/>
        </w:rPr>
        <w:t>ايشان در تبیین کلام شیخ می</w:t>
      </w:r>
      <w:r>
        <w:rPr>
          <w:rFonts w:cs="2  Mitra" w:hint="cs"/>
          <w:color w:val="000000" w:themeColor="text1"/>
          <w:sz w:val="28"/>
          <w:szCs w:val="28"/>
          <w:rtl/>
          <w:lang w:bidi="fa-IR"/>
        </w:rPr>
        <w:softHyphen/>
        <w:t xml:space="preserve">فرماید: </w:t>
      </w:r>
      <w:r>
        <w:rPr>
          <w:rFonts w:cs="2  Mitra" w:hint="cs"/>
          <w:color w:val="000000" w:themeColor="text1"/>
          <w:sz w:val="28"/>
          <w:szCs w:val="28"/>
          <w:rtl/>
        </w:rPr>
        <w:t>دلالت عام بر هر فرد، مستقل از دیگر افراد است و خروج برخی افراد با بقای حکم بر دیگران منافاتی ندارد. بنابر این تخصیص تنها موجب خروج بعضی مصادیق می‌شود و دلالت عام بر باقی همچنان برقرار است. از این رو مجاز ناشی از تخصیص با مجاز متعارف مانند «</w:t>
      </w:r>
      <w:r>
        <w:rPr>
          <w:rFonts w:cs="Abz-2 (Badr)" w:hint="cs"/>
          <w:color w:val="000000" w:themeColor="text1"/>
          <w:sz w:val="28"/>
          <w:szCs w:val="28"/>
          <w:rtl/>
        </w:rPr>
        <w:t>رأيت أسداً</w:t>
      </w:r>
      <w:r>
        <w:rPr>
          <w:rFonts w:cs="2  Mitra" w:hint="cs"/>
          <w:color w:val="000000" w:themeColor="text1"/>
          <w:sz w:val="28"/>
          <w:szCs w:val="28"/>
          <w:rtl/>
        </w:rPr>
        <w:t>» و اراده رجل شجاع تفاوت دارد، زیرا در تخصیص، باقی افراد همچنان تحت دلالت عام قرار دارند.</w:t>
      </w:r>
      <w:r>
        <w:rPr>
          <w:rStyle w:val="FootnoteReference"/>
          <w:rFonts w:cs="2  Mitra"/>
          <w:sz w:val="28"/>
          <w:szCs w:val="28"/>
          <w:rtl/>
        </w:rPr>
        <w:footnoteReference w:id="6"/>
      </w:r>
    </w:p>
    <w:p w14:paraId="6C68C374" w14:textId="77777777" w:rsidR="00403F13" w:rsidRDefault="00403F13" w:rsidP="00403F1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 xml:space="preserve">در واقع ایشان با این بیان در صدد اثبات این مطلب‌اند که پس از ورود مخصّص، حتی اگر بپذیریم که دلالت عام بر عموم به نحو مجازی است، باز هم تردیدی در شمول عام نسبت به افراد باقی‌مانده وجود ندارد؛ زیرا شمول عام بر افراد به صورت استغراقی است که در آن، شمول عام بر هر فرد مستقل از شمول آن بر فرد دیگر است. بنابر این خروج یک فرد به سبب ورود خاص، موجب تردید در شمول عام نسبت به سایر افراد نمی‌شود تا گفته شود که اگر ورود خاص دلالت عام را مجازی کند، </w:t>
      </w:r>
      <w:r>
        <w:rPr>
          <w:rFonts w:cs="2  Mitra" w:hint="cs"/>
          <w:color w:val="000000" w:themeColor="text1"/>
          <w:sz w:val="28"/>
          <w:szCs w:val="28"/>
          <w:rtl/>
        </w:rPr>
        <w:lastRenderedPageBreak/>
        <w:t>شک در شمول نسبت به باقی افراد از باب شک در مقتضی خواهد بود نه شک در مانع.</w:t>
      </w:r>
    </w:p>
    <w:p w14:paraId="0A1F2411" w14:textId="77777777" w:rsidR="00403F13" w:rsidRDefault="00403F13" w:rsidP="00403F13">
      <w:pPr>
        <w:widowControl w:val="0"/>
        <w:bidi/>
        <w:spacing w:before="240"/>
        <w:ind w:firstLine="284"/>
        <w:jc w:val="both"/>
        <w:rPr>
          <w:rFonts w:cs="2  Mitra"/>
          <w:color w:val="000000" w:themeColor="text1"/>
          <w:sz w:val="28"/>
          <w:szCs w:val="28"/>
          <w:lang w:bidi="fa-IR"/>
        </w:rPr>
      </w:pPr>
      <w:r>
        <w:rPr>
          <w:rFonts w:cs="2  Mitra" w:hint="cs"/>
          <w:color w:val="000000" w:themeColor="text1"/>
          <w:sz w:val="28"/>
          <w:szCs w:val="28"/>
          <w:rtl/>
          <w:lang w:bidi="fa-IR"/>
        </w:rPr>
        <w:t>به عبارت ديگر: الفاظ عموم شمولی دارند که سبب می</w:t>
      </w:r>
      <w:r>
        <w:rPr>
          <w:rFonts w:cs="2  Mitra" w:hint="cs"/>
          <w:color w:val="000000" w:themeColor="text1"/>
          <w:sz w:val="28"/>
          <w:szCs w:val="28"/>
          <w:rtl/>
          <w:lang w:bidi="fa-IR"/>
        </w:rPr>
        <w:softHyphen/>
        <w:t>شود شامل تک تک افراد يک ماهيت شوند. ورود خاص اصل شمول آنها را زايل نمی</w:t>
      </w:r>
      <w:r>
        <w:rPr>
          <w:rFonts w:cs="2  Mitra" w:hint="cs"/>
          <w:color w:val="000000" w:themeColor="text1"/>
          <w:sz w:val="28"/>
          <w:szCs w:val="28"/>
          <w:rtl/>
          <w:lang w:bidi="fa-IR"/>
        </w:rPr>
        <w:softHyphen/>
        <w:t>کند، بلکه مانع از اين می</w:t>
      </w:r>
      <w:r>
        <w:rPr>
          <w:rFonts w:cs="2  Mitra" w:hint="cs"/>
          <w:color w:val="000000" w:themeColor="text1"/>
          <w:sz w:val="28"/>
          <w:szCs w:val="28"/>
          <w:rtl/>
          <w:lang w:bidi="fa-IR"/>
        </w:rPr>
        <w:softHyphen/>
        <w:t>شود که شمول آنها به نحوی باشد که تک تک افراد آن ماهيت را در بر بگيرند و برخی از افراد از تحت اين شمول خارج می</w:t>
      </w:r>
      <w:r>
        <w:rPr>
          <w:rFonts w:cs="2  Mitra" w:hint="cs"/>
          <w:color w:val="000000" w:themeColor="text1"/>
          <w:sz w:val="28"/>
          <w:szCs w:val="28"/>
          <w:rtl/>
          <w:lang w:bidi="fa-IR"/>
        </w:rPr>
        <w:softHyphen/>
        <w:t>گردند. بنابر اين اصل وجود مقتضی برای شمول آن الفاظ بر افراد آن ماهيت بعد از ورود خاص نيز همچنان باقی است و اخراج فردی از افراد از شمول آن مازاد بر آنچه که خاص آن را از شمول آن خارج کرده است، نيازمند ورود مانعی ديگر است که فرض بر عدم آن است.</w:t>
      </w:r>
    </w:p>
    <w:bookmarkEnd w:id="2"/>
    <w:p w14:paraId="67B75B71" w14:textId="77777777" w:rsidR="00403F13" w:rsidRDefault="00403F13" w:rsidP="00403F13">
      <w:pPr>
        <w:widowControl w:val="0"/>
        <w:bidi/>
        <w:spacing w:before="240"/>
        <w:ind w:firstLine="284"/>
        <w:jc w:val="both"/>
        <w:rPr>
          <w:rFonts w:cs="2  Mitra" w:hint="cs"/>
          <w:color w:val="000000" w:themeColor="text1"/>
          <w:sz w:val="28"/>
          <w:szCs w:val="28"/>
          <w:rtl/>
          <w:lang w:bidi="fa-IR"/>
        </w:rPr>
      </w:pPr>
      <w:r>
        <w:rPr>
          <w:rFonts w:cs="2  Mitra" w:hint="cs"/>
          <w:color w:val="000000" w:themeColor="text1"/>
          <w:sz w:val="28"/>
          <w:szCs w:val="28"/>
          <w:rtl/>
          <w:lang w:bidi="fa-IR"/>
        </w:rPr>
        <w:t>بررسی اين مطلب که با اين استدلال، آيا اشکال مرحوم آخوند رفع می</w:t>
      </w:r>
      <w:r>
        <w:rPr>
          <w:rFonts w:cs="2  Mitra" w:hint="cs"/>
          <w:color w:val="000000" w:themeColor="text1"/>
          <w:sz w:val="28"/>
          <w:szCs w:val="28"/>
          <w:rtl/>
          <w:lang w:bidi="fa-IR"/>
        </w:rPr>
        <w:softHyphen/>
        <w:t>شود يا خير را به جلسه بعد واگذار می</w:t>
      </w:r>
      <w:r>
        <w:rPr>
          <w:rFonts w:cs="2  Mitra" w:hint="cs"/>
          <w:color w:val="000000" w:themeColor="text1"/>
          <w:sz w:val="28"/>
          <w:szCs w:val="28"/>
          <w:rtl/>
          <w:lang w:bidi="fa-IR"/>
        </w:rPr>
        <w:softHyphen/>
        <w:t>کنيم.</w:t>
      </w:r>
    </w:p>
    <w:p w14:paraId="003BF1E5" w14:textId="77777777" w:rsidR="00403F13" w:rsidRDefault="00403F13" w:rsidP="00403F13">
      <w:pPr>
        <w:rPr>
          <w:rFonts w:cs="2  Mitra" w:hint="cs"/>
          <w:color w:val="000000" w:themeColor="text1"/>
          <w:sz w:val="28"/>
          <w:szCs w:val="28"/>
          <w:rtl/>
        </w:rPr>
      </w:pPr>
      <w:r>
        <w:rPr>
          <w:rFonts w:cs="2  Mitra" w:hint="cs"/>
          <w:color w:val="000000" w:themeColor="text1"/>
          <w:sz w:val="28"/>
          <w:szCs w:val="28"/>
          <w:rtl/>
        </w:rPr>
        <w:br w:type="page"/>
      </w:r>
    </w:p>
    <w:p w14:paraId="16BB8AA0"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قد أُقيمت أجوبة أُخرى على دعوى عدم حجّيّة العامّ بعد تخصيصه بالمخصّص المبيّن سنعرض لبعضها:</w:t>
      </w:r>
    </w:p>
    <w:p w14:paraId="33C1EAF4" w14:textId="77777777" w:rsidR="00403F13" w:rsidRDefault="00403F13" w:rsidP="00403F13">
      <w:pPr>
        <w:widowControl w:val="0"/>
        <w:bidi/>
        <w:spacing w:after="0"/>
        <w:ind w:firstLine="284"/>
        <w:jc w:val="both"/>
        <w:rPr>
          <w:rFonts w:cs="Abz-2 (Badr)"/>
          <w:color w:val="000000" w:themeColor="text1"/>
          <w:sz w:val="28"/>
          <w:szCs w:val="28"/>
        </w:rPr>
      </w:pPr>
      <w:r>
        <w:rPr>
          <w:rFonts w:cs="Abz-2 (Badr)" w:hint="cs"/>
          <w:b/>
          <w:bCs/>
          <w:color w:val="00B050"/>
          <w:sz w:val="28"/>
          <w:szCs w:val="28"/>
          <w:rtl/>
        </w:rPr>
        <w:t>الجواب الأوّل:</w:t>
      </w:r>
      <w:r>
        <w:rPr>
          <w:rFonts w:cs="Abz-2 (Badr)" w:hint="cs"/>
          <w:color w:val="000000" w:themeColor="text1"/>
          <w:sz w:val="28"/>
          <w:szCs w:val="28"/>
          <w:rtl/>
        </w:rPr>
        <w:t xml:space="preserve"> سلّم الميرزا القمّي بأنّه بعد ورود المخصّص ندرك أنّ العامّ لم يستعمل في معناه الموضوع له وأنّ استعماله صار مجازيّاً. وأمّا في دفع ما يرد علی هذا المبنی من أنّ الأمر حينئذٍ يدور بين مجازات متعدّدة ولا مرجّح لتعيين واحد منها، فيلزم إجمال العامّ بعد ورود الخاصّ، فقال: إنّنا لا نسلّم الإجمال ولا عدم المرجّح؛ لأنّ الأقربيّة إلى العامّ هي بنفسها مرجّح تامّ، فكما أنّ التبادر علامة الحقيقة، كذلك يکون ظهور المناسبة والعلاقة علامة على تعيين المعنى المجازي، فإنّ أساس مباحث الألفاظ قائم على الظنون.</w:t>
      </w:r>
      <w:r>
        <w:rPr>
          <w:rStyle w:val="FootnoteReference"/>
          <w:rFonts w:cs="Abz-2 (Badr)"/>
          <w:spacing w:val="2"/>
          <w:sz w:val="28"/>
          <w:szCs w:val="28"/>
          <w:rtl/>
        </w:rPr>
        <w:footnoteReference w:id="7"/>
      </w:r>
    </w:p>
    <w:p w14:paraId="315F57C8"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ولکن اعترض عليه الشيخ بقوله: إن كان المقصود من «الأقربيّة» تلك الأقربيّة المعتبرة في باب الترجيح، فنحن لا نسلّم تحقّقها؛ لأنّ الأقربيّة المعتبرة هناك إنّما تنشأ من غلبة استعمال اللفظ بعد صرفه عن معناه الحقيقي ـ كما في استعمال لفظ «أسد» في «الرجل الشجاع» لا في «الرجل ال</w:t>
      </w:r>
      <w:r>
        <w:rPr>
          <w:rFonts w:cs="Abz-2 (Badr)" w:hint="cs"/>
          <w:color w:val="000000" w:themeColor="text1"/>
          <w:sz w:val="28"/>
          <w:szCs w:val="28"/>
          <w:rtl/>
          <w:lang w:bidi="fa-IR"/>
        </w:rPr>
        <w:t>أبخر</w:t>
      </w:r>
      <w:r>
        <w:rPr>
          <w:rFonts w:cs="Abz-2 (Badr)" w:hint="cs"/>
          <w:color w:val="000000" w:themeColor="text1"/>
          <w:sz w:val="28"/>
          <w:szCs w:val="28"/>
          <w:rtl/>
        </w:rPr>
        <w:t>» ـ ولا سبيل إلى إثبات غلبة استعمال العامّ المخصّص في الباقي، لأنّ المقصود من «الباقي» مصاديقه، وهي مختلفة جدّاً، فلا تتحقّق الغلبة حينئذٍ.</w:t>
      </w:r>
    </w:p>
    <w:p w14:paraId="31B7681A" w14:textId="77777777" w:rsidR="00403F13" w:rsidRDefault="00403F13" w:rsidP="00403F13">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وأمّا إن كان المراد من «الأقربيّة» معنىً آخر غير ما هو معتبر في باب الترجيح، فذلك لا يكون كافياً في مقام الترجيح.</w:t>
      </w:r>
      <w:r>
        <w:rPr>
          <w:rStyle w:val="FootnoteReference"/>
          <w:rFonts w:cs="Abz-2 (Badr)"/>
          <w:sz w:val="28"/>
          <w:szCs w:val="28"/>
          <w:rtl/>
        </w:rPr>
        <w:footnoteReference w:id="8"/>
      </w:r>
    </w:p>
    <w:p w14:paraId="64217C1E" w14:textId="77777777" w:rsidR="00403F13" w:rsidRDefault="00403F13" w:rsidP="00403F13">
      <w:pPr>
        <w:widowControl w:val="0"/>
        <w:bidi/>
        <w:spacing w:after="0"/>
        <w:ind w:firstLine="284"/>
        <w:jc w:val="both"/>
        <w:rPr>
          <w:rFonts w:cs="Abz-2 (Badr)" w:hint="cs"/>
          <w:color w:val="000000" w:themeColor="text1"/>
          <w:sz w:val="28"/>
          <w:szCs w:val="28"/>
          <w:rtl/>
          <w:lang w:bidi="ar-YE"/>
        </w:rPr>
      </w:pPr>
      <w:r>
        <w:rPr>
          <w:rFonts w:cs="Abz-2 (Badr)" w:hint="cs"/>
          <w:color w:val="000000" w:themeColor="text1"/>
          <w:sz w:val="28"/>
          <w:szCs w:val="28"/>
          <w:rtl/>
          <w:lang w:bidi="ar-YE"/>
        </w:rPr>
        <w:t>وهذا الإشكال تامّ؛ فإنّ الظاهر أنّ مراد صاحب القوانين من الأقربيّة هو کون الباقي بعد التخصيص أقرب عدداً إلی المعنی الموضوع له من سائر مراتب المجاز. إلّا أنّه لا مجال للالتزام بأنّ الأقربيّة بهذا المعنی تصلح أن تکون مرجّحاً لأحد المعاني المجازيّة علی المعاني الأُخری.</w:t>
      </w:r>
    </w:p>
    <w:p w14:paraId="73A38075"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b/>
          <w:bCs/>
          <w:color w:val="00B050"/>
          <w:sz w:val="28"/>
          <w:szCs w:val="28"/>
          <w:rtl/>
        </w:rPr>
        <w:t xml:space="preserve">الجواب الثاني: </w:t>
      </w:r>
      <w:r>
        <w:rPr>
          <w:rFonts w:cs="Abz-2 (Badr)" w:hint="cs"/>
          <w:color w:val="000000" w:themeColor="text1"/>
          <w:sz w:val="28"/>
          <w:szCs w:val="28"/>
          <w:rtl/>
        </w:rPr>
        <w:t>إنّ الشيخ الأعظم مع تسليمه بأنّ دلالة العامّ على الباقي بعد ورود التخصيص دلالة مجازيّة، يری أنّ التخصيص لا يدخل أفراداً جديدة في مدلول العامّ، وإنّما يخرج بعض الأفراد منه. وعليه فدلالة العامّ على الباقي هي نفس الدلالة السابقة ولا تتوقّف على شمول العامّ للأفراد التي خرجت بالتخصيص. فمقتضي حمل العامّ على الباقي موجود والمانع منه مفقود، لأنّ المخصّص متعرّض لغير الباقي فحسب. ومن ثمّ فإنّ شمول العامّ للباقي ـ بخلاف سائر موارد المجاز ـ متعيّن، ولا يحتاج إلى معيّن أو مرجّح آخر.</w:t>
      </w:r>
      <w:r>
        <w:rPr>
          <w:rStyle w:val="FootnoteReference"/>
          <w:rFonts w:cs="Abz-2 (Badr)"/>
          <w:sz w:val="28"/>
          <w:szCs w:val="28"/>
          <w:rtl/>
        </w:rPr>
        <w:footnoteReference w:id="9"/>
      </w:r>
    </w:p>
    <w:p w14:paraId="6284087B" w14:textId="77777777" w:rsidR="00403F13" w:rsidRDefault="00403F13" w:rsidP="00403F13">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lastRenderedPageBreak/>
        <w:t>إلّا أنّ المحقّق الخراساني اعترض على هذا الاستدلال بقوله: إنّ دلالة العامّ على الأفراد متفرّعة على دلالته على العموم، وبعد ترك استعماله في العموم لا يبقى له ظهور في شمول الباقي إلّا بقرينة مفقودة في المقام. وعليه فبعد رفع اليد عن الوضع يكون الإشكال في وجود المقتضي للبقاء لا في وجود المانع حتّی يدفع بالأصل.</w:t>
      </w:r>
      <w:r>
        <w:rPr>
          <w:rStyle w:val="FootnoteReference"/>
          <w:rFonts w:cs="Abz-2 (Badr)"/>
          <w:sz w:val="28"/>
          <w:szCs w:val="28"/>
          <w:rtl/>
        </w:rPr>
        <w:footnoteReference w:id="10"/>
      </w:r>
    </w:p>
    <w:p w14:paraId="7E4639CF"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وقد سعی الميرزا النائيني في توجيه مدّعى الشيخ بطريقة لا يرد عليها إشكال الآخوند فقال في بيان مقصود الشيخ: إنّ دلالة العامّ على كلّ فرد مستقلّة عن دلالته على الأفراد الأُخرى، ولا منافاة بين خروج بعض الأفراد وبقاء الحكم على غيرهم. وعليه فإنّ التخصيص لا يوجب إلّا خروج بعض المصاديق وتبقى دلالة العامّ على الباقي على حالها.</w:t>
      </w:r>
    </w:p>
    <w:p w14:paraId="6724C650"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ومن هنا فإنّ المجاز الناشئ من التخصيص يختلف عن المجاز المتعارف ـ كما في قولنا: «رأيت أسداً» وإرادة «الرجل الشجاع» ـ لأنّ الأفراد الباقية في مورد التخصيص ما زالت داخلة تحت دلالة العامّ بخلاف المجاز المتعارف.</w:t>
      </w:r>
      <w:r>
        <w:rPr>
          <w:rStyle w:val="FootnoteReference"/>
          <w:rFonts w:cs="Abz-2 (Badr)"/>
          <w:sz w:val="28"/>
          <w:szCs w:val="28"/>
          <w:rtl/>
        </w:rPr>
        <w:footnoteReference w:id="11"/>
      </w:r>
    </w:p>
    <w:p w14:paraId="08D8DEAE"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فإنّه بهذا البيان بصدد إثبات أنّه بعد ورود المخصّص، حتّى لو سلّمنا بأنّ دلالة العامّ على العموم صارت مجازيّة، لا يتطرّق الشكّ إلى شمول العامّ للأفراد الباقية، لأنّ شمول العامّ للأفراد هو شمول استغراقي تكون فيه دلالة العامّ على كلّ فرد مستقلّة عن دلالته على الفرد الآخر. وبناءً على ذلك فإنّ خروج فرد واحد بسبب ورود الخاصّ لا يستلزم التردّد في شمول العامّ لبقيّة الأفراد كي يقال: إنّ ورود الخاصّ ـ بعد جعله دلالة العامّ مجازيّة ـ يوجب الشكّ في شمول العامّ بالنسبة إلى الباقين من باب الشكّ في وجود المقتضي دون المانع.</w:t>
      </w:r>
    </w:p>
    <w:p w14:paraId="02E3771B"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وبعبارة أُخرى: إنّ ألفاظ العموم لها شمول يقتضي سريانها إلی آحاد أفراد الماهيّة. ولا يزول أصل هذا الشمول بورود الخاصّ، بل الخاصّ إنّما يمنع من انبساط العامّ علی جميع الأفراد على نحو الاستيعاب الكامل، فيخرج بعض الأفراد من تحته.</w:t>
      </w:r>
    </w:p>
    <w:p w14:paraId="6B5CFBA1"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وعليه فإنّ أصل وجود المقتضي لشمول تلك الألفاظ لأفراد الماهيّة يبقى ثابتاً حتّى بعد ورود الخاصّ. وأمّا إخراج فرد آخر من تحت هذا الشمول ـ زائداً على ما أخرجه الخاصّ ـ فيحتاج إلى وجود مانع آخر معدوم علی المفروض.</w:t>
      </w:r>
    </w:p>
    <w:p w14:paraId="692E51DD" w14:textId="77777777" w:rsidR="00403F13" w:rsidRDefault="00403F13" w:rsidP="00403F13">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ونؤجّل دراسة مدى كفاية هذا الاستدلال في دفع إشكال الآخوند إلى الجلسة المقبلة إن شاء الله.</w:t>
      </w:r>
    </w:p>
    <w:p w14:paraId="7D9979DE" w14:textId="26D41A3F" w:rsidR="001B24FC" w:rsidRPr="00403F13" w:rsidRDefault="001B24FC" w:rsidP="00403F13">
      <w:pPr>
        <w:rPr>
          <w:rtl/>
        </w:rPr>
      </w:pPr>
    </w:p>
    <w:sectPr w:rsidR="001B24FC" w:rsidRPr="00403F13"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76C84" w14:textId="77777777" w:rsidR="00E504F0" w:rsidRDefault="00E504F0" w:rsidP="00C336C5">
      <w:pPr>
        <w:spacing w:after="0" w:line="240" w:lineRule="auto"/>
      </w:pPr>
      <w:r>
        <w:separator/>
      </w:r>
    </w:p>
  </w:endnote>
  <w:endnote w:type="continuationSeparator" w:id="0">
    <w:p w14:paraId="72342607" w14:textId="77777777" w:rsidR="00E504F0" w:rsidRDefault="00E504F0" w:rsidP="00C336C5">
      <w:pPr>
        <w:spacing w:after="0" w:line="240" w:lineRule="auto"/>
      </w:pPr>
      <w:r>
        <w:continuationSeparator/>
      </w:r>
    </w:p>
  </w:endnote>
  <w:endnote w:type="continuationNotice" w:id="1">
    <w:p w14:paraId="0820192D" w14:textId="77777777" w:rsidR="00E504F0" w:rsidRDefault="00E50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Neirizi">
    <w:panose1 w:val="02000503000000020003"/>
    <w:charset w:val="00"/>
    <w:family w:val="auto"/>
    <w:pitch w:val="variable"/>
    <w:sig w:usb0="61002A87" w:usb1="80000000" w:usb2="00000008" w:usb3="00000000" w:csb0="000101FF"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326D" w14:textId="77777777" w:rsidR="00E504F0" w:rsidRDefault="00E504F0" w:rsidP="00C336C5">
      <w:pPr>
        <w:bidi/>
        <w:spacing w:after="0" w:line="240" w:lineRule="auto"/>
      </w:pPr>
      <w:r>
        <w:separator/>
      </w:r>
    </w:p>
  </w:footnote>
  <w:footnote w:type="continuationSeparator" w:id="0">
    <w:p w14:paraId="76901CE1" w14:textId="77777777" w:rsidR="00E504F0" w:rsidRDefault="00E504F0" w:rsidP="00C336C5">
      <w:pPr>
        <w:spacing w:after="0" w:line="240" w:lineRule="auto"/>
      </w:pPr>
      <w:r>
        <w:continuationSeparator/>
      </w:r>
    </w:p>
  </w:footnote>
  <w:footnote w:type="continuationNotice" w:id="1">
    <w:p w14:paraId="4900337D" w14:textId="77777777" w:rsidR="00E504F0" w:rsidRDefault="00E504F0">
      <w:pPr>
        <w:spacing w:after="0" w:line="240" w:lineRule="auto"/>
      </w:pPr>
    </w:p>
  </w:footnote>
  <w:footnote w:id="2">
    <w:p w14:paraId="31077E4D"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راجع: القوانين المحکمة،ج2،ص61 و 62.</w:t>
      </w:r>
    </w:p>
  </w:footnote>
  <w:footnote w:id="3">
    <w:p w14:paraId="078522D9"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مطارح الأنظار،ج2،ص132.</w:t>
      </w:r>
    </w:p>
  </w:footnote>
  <w:footnote w:id="4">
    <w:p w14:paraId="19968E44"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همان.</w:t>
      </w:r>
    </w:p>
  </w:footnote>
  <w:footnote w:id="5">
    <w:p w14:paraId="3FDC795B"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الأُصول،ص220.</w:t>
      </w:r>
    </w:p>
  </w:footnote>
  <w:footnote w:id="6">
    <w:p w14:paraId="082869CF"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اجود التقريرات،ج1،ص453 و 454.</w:t>
      </w:r>
    </w:p>
  </w:footnote>
  <w:footnote w:id="7">
    <w:p w14:paraId="116FE432"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القوانين المحکمة،ج2،ص61 و 62.</w:t>
      </w:r>
    </w:p>
  </w:footnote>
  <w:footnote w:id="8">
    <w:p w14:paraId="0C921C46"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مطارح الأنظار،ج2،ص132.</w:t>
      </w:r>
    </w:p>
  </w:footnote>
  <w:footnote w:id="9">
    <w:p w14:paraId="5C534F31"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المصدر نفسه.</w:t>
      </w:r>
    </w:p>
  </w:footnote>
  <w:footnote w:id="10">
    <w:p w14:paraId="0311F9A0"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الأُصول،ص220.</w:t>
      </w:r>
    </w:p>
  </w:footnote>
  <w:footnote w:id="11">
    <w:p w14:paraId="63A21509" w14:textId="77777777" w:rsidR="00403F13" w:rsidRDefault="00403F13" w:rsidP="00403F1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التقريرات،ج1،ص453 و 454.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138636E"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403F13">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03F13">
                            <w:rPr>
                              <w:rFonts w:cs="B Mehr" w:hint="cs"/>
                              <w:rtl/>
                              <w:lang w:bidi="fa-IR"/>
                            </w:rPr>
                            <w:t>10</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138636E"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403F13">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03F13">
                      <w:rPr>
                        <w:rFonts w:cs="B Mehr" w:hint="cs"/>
                        <w:rtl/>
                        <w:lang w:bidi="fa-IR"/>
                      </w:rPr>
                      <w:t>10</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3F13"/>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04F0"/>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4110</TotalTime>
  <Pages>1</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1260</cp:revision>
  <cp:lastPrinted>2025-04-15T09:36:00Z</cp:lastPrinted>
  <dcterms:created xsi:type="dcterms:W3CDTF">2022-10-16T08:36:00Z</dcterms:created>
  <dcterms:modified xsi:type="dcterms:W3CDTF">2025-12-01T08:20:00Z</dcterms:modified>
</cp:coreProperties>
</file>