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31D99" w14:textId="77777777" w:rsidR="007F73E7" w:rsidRDefault="007F73E7" w:rsidP="007F73E7">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E438564" w14:textId="77777777" w:rsidR="007F73E7" w:rsidRDefault="007F73E7" w:rsidP="007F73E7">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7F61559F" w14:textId="77777777" w:rsidR="007F73E7" w:rsidRDefault="007F73E7" w:rsidP="007F73E7">
      <w:pPr>
        <w:widowControl w:val="0"/>
        <w:bidi/>
        <w:spacing w:after="240"/>
        <w:jc w:val="center"/>
        <w:rPr>
          <w:rFonts w:cs="B Mitra" w:hint="cs"/>
          <w:b/>
          <w:bCs/>
          <w:sz w:val="32"/>
          <w:szCs w:val="32"/>
          <w:rtl/>
          <w:lang w:bidi="fa-IR"/>
        </w:rPr>
      </w:pPr>
      <w:r>
        <w:rPr>
          <w:rFonts w:cs="B Mitra" w:hint="cs"/>
          <w:b/>
          <w:bCs/>
          <w:sz w:val="32"/>
          <w:szCs w:val="32"/>
          <w:rtl/>
          <w:lang w:bidi="fa-IR"/>
        </w:rPr>
        <w:t>جلسه 975</w:t>
      </w:r>
    </w:p>
    <w:bookmarkEnd w:id="0"/>
    <w:p w14:paraId="541E9E2F" w14:textId="77777777" w:rsidR="007F73E7" w:rsidRDefault="007F73E7" w:rsidP="007F73E7">
      <w:pPr>
        <w:widowControl w:val="0"/>
        <w:bidi/>
        <w:spacing w:before="240" w:line="261" w:lineRule="auto"/>
        <w:ind w:firstLine="289"/>
        <w:jc w:val="both"/>
        <w:rPr>
          <w:rFonts w:cs="2  Mitra" w:hint="cs"/>
          <w:sz w:val="28"/>
          <w:szCs w:val="28"/>
          <w:rtl/>
        </w:rPr>
      </w:pPr>
    </w:p>
    <w:p w14:paraId="35A760CB" w14:textId="77777777" w:rsidR="007F73E7" w:rsidRDefault="007F73E7" w:rsidP="007F73E7">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گفتيم که مرحوم آخوند در توجيه عدم مجازيت در لفظ عام بعد از ورود مخصص، مخصص را قرينه</w:t>
      </w:r>
      <w:r>
        <w:rPr>
          <w:rFonts w:cs="2  Mitra" w:hint="cs"/>
          <w:color w:val="000000" w:themeColor="text1"/>
          <w:sz w:val="28"/>
          <w:szCs w:val="28"/>
          <w:rtl/>
        </w:rPr>
        <w:softHyphen/>
        <w:t>ای برای تبيين مراد جدی متکلم دانسته</w:t>
      </w:r>
      <w:r>
        <w:rPr>
          <w:rFonts w:cs="2  Mitra" w:hint="cs"/>
          <w:color w:val="000000" w:themeColor="text1"/>
          <w:sz w:val="28"/>
          <w:szCs w:val="28"/>
          <w:rtl/>
        </w:rPr>
        <w:softHyphen/>
        <w:t>اند.</w:t>
      </w:r>
    </w:p>
    <w:p w14:paraId="71391EEA" w14:textId="77777777" w:rsidR="007F73E7" w:rsidRDefault="007F73E7" w:rsidP="007F73E7">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ممکن است بر توجيهی که مرحوم آخوند از مسأله ارائه داده</w:t>
      </w:r>
      <w:r>
        <w:rPr>
          <w:rFonts w:cs="2  Mitra" w:hint="cs"/>
          <w:color w:val="000000" w:themeColor="text1"/>
          <w:sz w:val="28"/>
          <w:szCs w:val="28"/>
          <w:rtl/>
        </w:rPr>
        <w:softHyphen/>
        <w:t>اند، اشکال شده و گفته شود: توجیه مذکور تنها در مورد عموم استغراقی و عموم بدلی، قابل التزام است، ولی در مورد عموم مجموعی نمی</w:t>
      </w:r>
      <w:r>
        <w:rPr>
          <w:rFonts w:cs="2  Mitra" w:hint="cs"/>
          <w:color w:val="000000" w:themeColor="text1"/>
          <w:sz w:val="28"/>
          <w:szCs w:val="28"/>
          <w:rtl/>
        </w:rPr>
        <w:softHyphen/>
        <w:t>توان به آن ملتزم شد.</w:t>
      </w:r>
    </w:p>
    <w:p w14:paraId="3763E8AD" w14:textId="77777777" w:rsidR="007F73E7" w:rsidRDefault="007F73E7" w:rsidP="007F73E7">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توضیح آن که در عموم استغراقی و عموم بدلی، حکم مندرج در قضیه به تعداد افراد عام منحل می‌گردد، بدین ترتیب که در عموم استغراقی، احکام تعلق‌یافته به افراد، نسبت به یکدیگر «لا بشرط» هستند، و در عموم بدلی، نسبت به یکدیگر «بشرط لا». بر این اساس، ورود خاص سبب می‌شود دایره افرادی که حکم به نسبت به آنها منحل می‌شود، تنگ‌تر گردد؛ مثلاً به جای آن که صد حکم به صد فرد عام تعلق گیرد، تنها هفتاد حکم به هفتاد فرد باقی‌مانده تعلق گیرد. بنابر این در این دو نوع از عموم، می‌توان ادعا کرد که ورود خاص موجب می‌شود مراد جدّی متکلّم در خصوص افرادی که نزد او حکم به نسبت آنها منحل می</w:t>
      </w:r>
      <w:r>
        <w:rPr>
          <w:rFonts w:cs="2  Mitra" w:hint="cs"/>
          <w:color w:val="000000" w:themeColor="text1"/>
          <w:sz w:val="28"/>
          <w:szCs w:val="28"/>
          <w:rtl/>
        </w:rPr>
        <w:softHyphen/>
        <w:t>گردد، تبیین و روشن گردد.</w:t>
      </w:r>
    </w:p>
    <w:p w14:paraId="0EE1FD75" w14:textId="77777777" w:rsidR="007F73E7" w:rsidRDefault="007F73E7" w:rsidP="007F73E7">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امّا در عموم مجموعی از آنجا که بیش از یک حکم وجود ندارد و آن نیز به مرکّبی متشکّل از افراد عام تعلق گرفته است، اگر در دلیل دیگری حکمی متضاد با آن به یکی از افراد تعلق گیرد، لازمه‌اش این خواهد بود که در دلیل دوم، حکمی وارد شده باشد بر چيزی که جزء موضوعی است که در دلیل اول، حکم متضاد به آن تعلق گرفته است. به عنوان مثال، اگر مولا به عبد بگوید: «</w:t>
      </w:r>
      <w:r>
        <w:rPr>
          <w:rFonts w:cs="Abz-2 (Badr)" w:hint="cs"/>
          <w:color w:val="000000" w:themeColor="text1"/>
          <w:sz w:val="28"/>
          <w:szCs w:val="28"/>
          <w:rtl/>
        </w:rPr>
        <w:t>أکرم مجموع العلماء</w:t>
      </w:r>
      <w:r>
        <w:rPr>
          <w:rFonts w:cs="2  Mitra" w:hint="cs"/>
          <w:color w:val="000000" w:themeColor="text1"/>
          <w:sz w:val="28"/>
          <w:szCs w:val="28"/>
          <w:rtl/>
        </w:rPr>
        <w:t>» و سپس در دلیل دیگری بگوید: «</w:t>
      </w:r>
      <w:r>
        <w:rPr>
          <w:rFonts w:cs="Abz-2 (Badr)" w:hint="cs"/>
          <w:color w:val="000000" w:themeColor="text1"/>
          <w:sz w:val="28"/>
          <w:szCs w:val="28"/>
          <w:rtl/>
        </w:rPr>
        <w:t>لا تکرم العلماء الفساق</w:t>
      </w:r>
      <w:r>
        <w:rPr>
          <w:rFonts w:cs="2  Mitra" w:hint="cs"/>
          <w:color w:val="000000" w:themeColor="text1"/>
          <w:sz w:val="28"/>
          <w:szCs w:val="28"/>
          <w:rtl/>
        </w:rPr>
        <w:t>»، نمی‌توان ادعا کرد که دلیل دوم مراد جدی متکلّم در دلیل اول را تبیین می‌کند؛ زیرا دلیل دوم ناظر به سعه و ضیق دایره انحلال حکم نيست، بلکه حکمی متضاد با حکم موجود در دلیل اول را بر جزئی از موضوعی که در دلیل اول به عنوان موضوع حکم اخذ شده است، بار می‌کند.</w:t>
      </w:r>
    </w:p>
    <w:p w14:paraId="0EC5255C" w14:textId="77777777" w:rsidR="007F73E7" w:rsidRDefault="007F73E7" w:rsidP="007F73E7">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 xml:space="preserve">امّا پاسخ این است که در عام مجموعی نیز دلیل خاص، مبیّن مراد جدّی متکلّم است؛ با این تفاوت که در عام استغراقی و </w:t>
      </w:r>
      <w:r>
        <w:rPr>
          <w:rFonts w:cs="2  Mitra" w:hint="cs"/>
          <w:color w:val="000000" w:themeColor="text1"/>
          <w:sz w:val="28"/>
          <w:szCs w:val="28"/>
          <w:rtl/>
        </w:rPr>
        <w:lastRenderedPageBreak/>
        <w:t>بدلی، این دلیل دایره افرادی را روشن می‌سازد که حکم به نسبت به آنها منحل می</w:t>
      </w:r>
      <w:r>
        <w:rPr>
          <w:rFonts w:cs="2  Mitra" w:hint="cs"/>
          <w:color w:val="000000" w:themeColor="text1"/>
          <w:sz w:val="28"/>
          <w:szCs w:val="28"/>
          <w:rtl/>
        </w:rPr>
        <w:softHyphen/>
        <w:t>شود، در حالی‌که در عام مجموعی، دایره افرادی را معیّن می‌کند که از مجموع آنها مرکّبی پدید می‌آید که آن مرکّب، موضوع حکم مذکور در عام است. البته چون دلیل خاص در عام مجموعی، ناظر به موضوع حکم در دلیل عام می‌باشد نه این که در صدد تضییق دایره انحلال آن بر افراد متعدد باشد، شاید شایسته‌تر آن است که به جای «دلیل خاص» از آن به عنوان «دلیل حاکم» یاد کنیم.</w:t>
      </w:r>
    </w:p>
    <w:p w14:paraId="3C36E236" w14:textId="77777777" w:rsidR="007F73E7" w:rsidRDefault="007F73E7" w:rsidP="007F73E7">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اگر گفته شود: هرگاه مرکّبی از اجزائی تشکیل شده باشد که افراد مفهوم واحدی نیستند و در یک دلیل، امری به آن مرکّب تعلّق گیرد و در دلیل دیگر نهی از جزء یا اجزائی از آن وارد شود ـ مانند این‌که در یک دلیل امر به «نماز» شده و در دلیل دیگر نهی از «رکوع» یا «سجود» صادر گردد ـ در چنین حالتی نمی‌توان ادّعا کرد که دلیل دوم در صدد تبیین مراد جدّی از متعلّق امر اوّل است، بلکه ناگزیر باید میان دو دلیل، حکم به تعارض نمود. به همین قیاس در مرکّبی که از افراد مفهومی واحد تشکیل یافته نیز چنین ادّعایی صحیح نخواهد بود؛ زیرا هرچند اجزای تشکیل‌دهنده این دو نوع مرکّب با یکدیگر تفاوت دارند، امّا از حیث این‌که هر دو «مرکّب از اجزاء» به شمار می‌آیند، حکم واحدی دارند.</w:t>
      </w:r>
    </w:p>
    <w:p w14:paraId="2090F667" w14:textId="77777777" w:rsidR="007F73E7" w:rsidRDefault="007F73E7" w:rsidP="007F73E7">
      <w:pPr>
        <w:widowControl w:val="0"/>
        <w:bidi/>
        <w:spacing w:before="240" w:line="252" w:lineRule="auto"/>
        <w:ind w:firstLine="284"/>
        <w:jc w:val="both"/>
        <w:rPr>
          <w:rFonts w:cs="2  Mitra" w:hint="cs"/>
          <w:color w:val="000000" w:themeColor="text1"/>
          <w:spacing w:val="-2"/>
          <w:sz w:val="28"/>
          <w:szCs w:val="28"/>
          <w:rtl/>
        </w:rPr>
      </w:pPr>
      <w:r>
        <w:rPr>
          <w:rFonts w:cs="2  Mitra" w:hint="cs"/>
          <w:color w:val="000000" w:themeColor="text1"/>
          <w:spacing w:val="-2"/>
          <w:sz w:val="28"/>
          <w:szCs w:val="28"/>
          <w:rtl/>
        </w:rPr>
        <w:t>در پاسخ گفته می</w:t>
      </w:r>
      <w:r>
        <w:rPr>
          <w:rFonts w:cs="2  Mitra" w:hint="cs"/>
          <w:color w:val="000000" w:themeColor="text1"/>
          <w:spacing w:val="-2"/>
          <w:sz w:val="28"/>
          <w:szCs w:val="28"/>
          <w:rtl/>
        </w:rPr>
        <w:softHyphen/>
        <w:t>شود: تفاوت ما نحن فیه با مثال مذکور در این است که در ما نحن فیه، دلیلی که حکم را بر عام مترتّب می‌سازد، خود در مقام تبیین موضوع حکم نیز هست؛ از این رو می‌توان ادعا کرد که دلیل خاص، در صدد تبیین حدود و دایره موضوعی است که در دلیل عام به عنوان موضوع حکم اخذ شده است. امّا در مثال یاد شده، دلیلی که در آن امر به «نماز» تعلّق گرفته، در صدد بیان مراد از «نماز» نیست، بلکه تبیین حقیقت و اجزاء نماز در دلیل دیگری آمده است؛ از این رو نمی‌توان دلیلی را که نهی از جزء یا اجزائی از نماز کرده است، به منزله مبیّن موضوع امر در دلیل نخست تلقّی کرد.</w:t>
      </w:r>
    </w:p>
    <w:p w14:paraId="74499D83" w14:textId="77777777" w:rsidR="007F73E7" w:rsidRDefault="007F73E7" w:rsidP="007F73E7">
      <w:pPr>
        <w:rPr>
          <w:rFonts w:cs="2  Mitra" w:hint="cs"/>
          <w:color w:val="000000" w:themeColor="text1"/>
          <w:spacing w:val="-2"/>
          <w:sz w:val="28"/>
          <w:szCs w:val="28"/>
          <w:rtl/>
        </w:rPr>
      </w:pPr>
      <w:r>
        <w:rPr>
          <w:rFonts w:cs="2  Mitra" w:hint="cs"/>
          <w:color w:val="000000" w:themeColor="text1"/>
          <w:spacing w:val="-2"/>
          <w:sz w:val="28"/>
          <w:szCs w:val="28"/>
          <w:rtl/>
        </w:rPr>
        <w:br w:type="page"/>
      </w:r>
    </w:p>
    <w:p w14:paraId="472CB176" w14:textId="77777777" w:rsidR="007F73E7" w:rsidRDefault="007F73E7" w:rsidP="007F73E7">
      <w:pPr>
        <w:widowControl w:val="0"/>
        <w:bidi/>
        <w:spacing w:after="0"/>
        <w:ind w:firstLine="284"/>
        <w:jc w:val="both"/>
        <w:rPr>
          <w:rFonts w:cs="Abz-2 (Badr)" w:hint="cs"/>
          <w:sz w:val="28"/>
          <w:szCs w:val="28"/>
          <w:rtl/>
        </w:rPr>
      </w:pPr>
      <w:r>
        <w:rPr>
          <w:rFonts w:cs="Abz-2 (Badr)" w:hint="cs"/>
          <w:sz w:val="28"/>
          <w:szCs w:val="28"/>
          <w:rtl/>
        </w:rPr>
        <w:lastRenderedPageBreak/>
        <w:t>قلنا سابقاً: إنّ المحقّق الخراساني ذهب في توجيه عدم المجاز في اللفظ العامّ بعد ورود المخصّص إلی أنّ المخصّص قرينة على بيان المراد الجدّي للمتكلّم.</w:t>
      </w:r>
    </w:p>
    <w:p w14:paraId="18A0D3E9" w14:textId="77777777" w:rsidR="007F73E7" w:rsidRDefault="007F73E7" w:rsidP="007F73E7">
      <w:pPr>
        <w:widowControl w:val="0"/>
        <w:bidi/>
        <w:spacing w:after="0"/>
        <w:ind w:firstLine="284"/>
        <w:jc w:val="both"/>
        <w:rPr>
          <w:rFonts w:cs="Abz-2 (Badr)" w:hint="cs"/>
          <w:sz w:val="28"/>
          <w:szCs w:val="28"/>
          <w:rtl/>
        </w:rPr>
      </w:pPr>
      <w:r>
        <w:rPr>
          <w:rFonts w:cs="Abz-2 (Badr)" w:hint="cs"/>
          <w:sz w:val="28"/>
          <w:szCs w:val="28"/>
          <w:rtl/>
        </w:rPr>
        <w:t>وقد يورد على هذا التوجيه بأنّه وإن كان مقبولاً في العموم الاستغراقي والبدلي، إلّا أنّه لا يجري في العموم المجموعي.</w:t>
      </w:r>
    </w:p>
    <w:p w14:paraId="6CEE5587" w14:textId="77777777" w:rsidR="007F73E7" w:rsidRDefault="007F73E7" w:rsidP="007F73E7">
      <w:pPr>
        <w:widowControl w:val="0"/>
        <w:bidi/>
        <w:spacing w:after="0"/>
        <w:ind w:firstLine="284"/>
        <w:jc w:val="both"/>
        <w:rPr>
          <w:rFonts w:cs="Abz-2 (Badr)"/>
          <w:sz w:val="28"/>
          <w:szCs w:val="28"/>
          <w:lang w:bidi="fa-IR"/>
        </w:rPr>
      </w:pPr>
      <w:r>
        <w:rPr>
          <w:rFonts w:cs="Abz-2 (Badr)" w:hint="cs"/>
          <w:sz w:val="28"/>
          <w:szCs w:val="28"/>
          <w:rtl/>
        </w:rPr>
        <w:t>توضيح ذلك: أنّ الحكم في العموم الاستغراقي والبدلي ينحلّ إلى أحكام متعدّدة بعدد أفراد العامّ. ففي العموم الاستغراقي تكون الأحكام المتعلّقة بالأفراد متغايرة ومتعدّدة، وكلّ حكم «لا بشرط» بالنسبة إلى غيرها من الأحكام،</w:t>
      </w:r>
      <w:r>
        <w:rPr>
          <w:rtl/>
        </w:rPr>
        <w:t xml:space="preserve"> </w:t>
      </w:r>
      <w:r>
        <w:rPr>
          <w:rFonts w:cs="Abz-2 (Badr)" w:hint="cs"/>
          <w:sz w:val="28"/>
          <w:szCs w:val="28"/>
          <w:rtl/>
        </w:rPr>
        <w:t>بينما تكون الأحكام في العموم البدلي «بشرط لا» بالنسبة إلى غيرها.</w:t>
      </w:r>
    </w:p>
    <w:p w14:paraId="0E540B9D" w14:textId="77777777" w:rsidR="007F73E7" w:rsidRDefault="007F73E7" w:rsidP="007F73E7">
      <w:pPr>
        <w:widowControl w:val="0"/>
        <w:bidi/>
        <w:spacing w:after="0"/>
        <w:ind w:firstLine="284"/>
        <w:jc w:val="both"/>
        <w:rPr>
          <w:rFonts w:cs="Abz-2 (Badr)"/>
          <w:sz w:val="28"/>
          <w:szCs w:val="28"/>
          <w:lang w:bidi="fa-IR"/>
        </w:rPr>
      </w:pPr>
      <w:r>
        <w:rPr>
          <w:rFonts w:cs="Abz-2 (Badr)" w:hint="cs"/>
          <w:sz w:val="28"/>
          <w:szCs w:val="28"/>
          <w:rtl/>
        </w:rPr>
        <w:t>وعلى هذا الأساس، فإنّ ورود الدليل الخاصّ يؤدّي إلى تضييق دائرة الأفراد الذين ينحلّ الحکم بالنسبة إليهم، فبدلاً من أن يتعلّق مائة حكم بمائة فرد مثلاً، يتعلّق سبعون حكماً بالسبعين فرداً الباقين. ومن ثمّ ففي هذين النوعين من العموم يمكن القول بأنّ الدليل الخاصّ يعدّ مبيّناً للمراد الجدّي للمتكلّم في خصوص الأفراد الذين يكون الحكم منحلّاً بالنسبة إليهم.</w:t>
      </w:r>
    </w:p>
    <w:p w14:paraId="494E4B58" w14:textId="77777777" w:rsidR="007F73E7" w:rsidRDefault="007F73E7" w:rsidP="007F73E7">
      <w:pPr>
        <w:widowControl w:val="0"/>
        <w:bidi/>
        <w:spacing w:after="0"/>
        <w:ind w:firstLine="284"/>
        <w:jc w:val="both"/>
        <w:rPr>
          <w:rFonts w:cs="Abz-2 (Badr)"/>
          <w:sz w:val="28"/>
          <w:szCs w:val="28"/>
        </w:rPr>
      </w:pPr>
      <w:r>
        <w:rPr>
          <w:rFonts w:cs="Abz-2 (Badr)" w:hint="cs"/>
          <w:sz w:val="28"/>
          <w:szCs w:val="28"/>
          <w:rtl/>
        </w:rPr>
        <w:t>وأمّا في العموم المجموعي حيث لا يوجد إلّا حكم واحد متعلّق بمركّب يشمل مجموع أفراد العامّ، فإذا ورد في دليل آخر حكم مضادّ لأحد أفراد ذلك المركّب، لزم منه تعلّق الحكم الثاني بجزء الموضوع الذي تعلّق به الحكم الأوّل مع كونهما متضادّين، وهو محال.</w:t>
      </w:r>
    </w:p>
    <w:p w14:paraId="5BAD497B" w14:textId="77777777" w:rsidR="007F73E7" w:rsidRDefault="007F73E7" w:rsidP="007F73E7">
      <w:pPr>
        <w:widowControl w:val="0"/>
        <w:bidi/>
        <w:spacing w:after="0"/>
        <w:ind w:firstLine="284"/>
        <w:jc w:val="both"/>
        <w:rPr>
          <w:rFonts w:cs="Abz-2 (Badr)" w:hint="cs"/>
          <w:sz w:val="28"/>
          <w:szCs w:val="28"/>
          <w:rtl/>
        </w:rPr>
      </w:pPr>
      <w:r>
        <w:rPr>
          <w:rFonts w:cs="Abz-2 (Badr)" w:hint="cs"/>
          <w:sz w:val="28"/>
          <w:szCs w:val="28"/>
          <w:rtl/>
        </w:rPr>
        <w:t>فعلى سبيل المثال، لو قال المولى لعبده: «أكرم مجموع العلماء» ثمّ ورد في دليل آخر: «لا تكرم العلماء الفسّاق»، فلا يصحّ الادّعاء بأنّ الدليل الثاني يبيّن المراد الجدّي للمتكلّم في الدليل الأوّل؛ وذلك لأنّ الدليل الثاني ليس ناظراً إلى تضييق دائرة انحلال الحكم، وإنّما يثبت حكماً مضادّاً لحكم الدليل الأوّل على جزء من الموضوع الذي اعتبر موضوعاً للحكم في الدليل الأوّل.</w:t>
      </w:r>
    </w:p>
    <w:p w14:paraId="21E8DDB6" w14:textId="77777777" w:rsidR="007F73E7" w:rsidRDefault="007F73E7" w:rsidP="007F73E7">
      <w:pPr>
        <w:widowControl w:val="0"/>
        <w:bidi/>
        <w:spacing w:after="0"/>
        <w:ind w:firstLine="284"/>
        <w:jc w:val="both"/>
        <w:rPr>
          <w:rFonts w:cs="Abz-2 (Badr)" w:hint="cs"/>
          <w:sz w:val="28"/>
          <w:szCs w:val="28"/>
          <w:rtl/>
        </w:rPr>
      </w:pPr>
      <w:r>
        <w:rPr>
          <w:rFonts w:cs="Abz-2 (Badr)" w:hint="cs"/>
          <w:sz w:val="28"/>
          <w:szCs w:val="28"/>
          <w:rtl/>
        </w:rPr>
        <w:t>ولکنّ الجواب هو أنّه في العامّ المجموعي أيضاً يكون الدليل الخاصّ مبيّناً للمراد الجدّي للمتكلّم؛ غاية الأمر أنّه في العامّ الاستغراقي والبدلي يبيّن دائرة الأفراد الذين ينحلّ الحكم العامّ بالنسبة إليهم، بينما في العامّ المجموعي يعيّن دائرة الأفراد الذين يتركّب منهم مرکّب يكون هو الموضوع للحكم المذكور في العامّ.</w:t>
      </w:r>
    </w:p>
    <w:p w14:paraId="7D8E436A" w14:textId="77777777" w:rsidR="007F73E7" w:rsidRDefault="007F73E7" w:rsidP="007F73E7">
      <w:pPr>
        <w:widowControl w:val="0"/>
        <w:bidi/>
        <w:spacing w:after="0"/>
        <w:ind w:firstLine="284"/>
        <w:jc w:val="both"/>
        <w:rPr>
          <w:rFonts w:cs="Abz-2 (Badr)"/>
          <w:sz w:val="28"/>
          <w:szCs w:val="28"/>
        </w:rPr>
      </w:pPr>
      <w:r>
        <w:rPr>
          <w:rFonts w:cs="Abz-2 (Badr)" w:hint="cs"/>
          <w:sz w:val="28"/>
          <w:szCs w:val="28"/>
          <w:rtl/>
        </w:rPr>
        <w:t>نعم، بما أنّ الدليل الخاصّ في العامّ المجموعي ناظر إلى موضوع الحكم في دليل العامّ لا إلى تضييق دائرة الانحلال على أفراد متعدّدين، فربّما يكون الأنسب أن يعبّر عنه بعنوان «الدليل الحاكم» لا بعنوان «الدليل الخاصّ».</w:t>
      </w:r>
    </w:p>
    <w:p w14:paraId="55BD3178" w14:textId="77777777" w:rsidR="007F73E7" w:rsidRDefault="007F73E7" w:rsidP="007F73E7">
      <w:pPr>
        <w:widowControl w:val="0"/>
        <w:bidi/>
        <w:spacing w:after="0"/>
        <w:ind w:firstLine="284"/>
        <w:jc w:val="both"/>
        <w:rPr>
          <w:rFonts w:cs="Abz-2 (Badr)" w:hint="cs"/>
          <w:sz w:val="28"/>
          <w:szCs w:val="28"/>
          <w:rtl/>
          <w:lang w:bidi="fa-IR"/>
        </w:rPr>
      </w:pPr>
      <w:r>
        <w:rPr>
          <w:rFonts w:cs="Abz-2 (Badr)" w:hint="cs"/>
          <w:sz w:val="28"/>
          <w:szCs w:val="28"/>
          <w:rtl/>
        </w:rPr>
        <w:lastRenderedPageBreak/>
        <w:t>إن قلت: كلّ مركّب إذا كان مؤلّفاً من أجزاء ليست من أفراد مفهوم واحد وتعلّق به الأمر في دليل ثمّ ورد في دليل آخر نهي عن بعض أجزائه ـ كما لو ورد الأمر بالصلاة في دليل وورد النهي عن الركوع أو السجود في دليل آخر ـ فإنّه لا يمكن حينئذٍ الادّعاء بأنّ الدليل الثاني ناظر إلى بيان المراد الجدّي من متعلّق الأمر الأوّل، بل لابدّ من الحكم بتعارض الدليلين. وعلى هذا القياس لا يصحّ ذلك الادّعاء في المركّب المؤلّف من أفراد مفهوم واحد أيضاً، لأنّه وإن اختلفت أجزاء هذين المركّبين في الحقيقة إلّا أنّهما يشتركان في كون كلّ منهما مركّباً من أجزاء، فيجريان مجرىً واحداً في الحكم</w:t>
      </w:r>
      <w:r>
        <w:rPr>
          <w:rFonts w:cs="Abz-2 (Badr)" w:hint="cs"/>
          <w:sz w:val="28"/>
          <w:szCs w:val="28"/>
          <w:rtl/>
          <w:lang w:bidi="fa-IR"/>
        </w:rPr>
        <w:t>.</w:t>
      </w:r>
    </w:p>
    <w:p w14:paraId="561F9B17" w14:textId="77777777" w:rsidR="007F73E7" w:rsidRDefault="007F73E7" w:rsidP="007F73E7">
      <w:pPr>
        <w:widowControl w:val="0"/>
        <w:bidi/>
        <w:spacing w:after="0"/>
        <w:ind w:firstLine="284"/>
        <w:jc w:val="both"/>
        <w:rPr>
          <w:rFonts w:cs="2  Mitra"/>
          <w:color w:val="000000" w:themeColor="text1"/>
          <w:sz w:val="28"/>
          <w:szCs w:val="28"/>
        </w:rPr>
      </w:pPr>
      <w:r>
        <w:rPr>
          <w:rFonts w:cs="Abz-2 (Badr)" w:hint="cs"/>
          <w:sz w:val="28"/>
          <w:szCs w:val="28"/>
          <w:rtl/>
        </w:rPr>
        <w:t>قلت: الفرق بين ما نحن فيه وبين المثال المذكور هو أنّ الدليل الذي رتّب الحكم على العامّ في محلّ كلامنا يكون بنفسه ناظراً إلى بيان موضوع الحكم أيضاً، ومن ثمّ يمكن الادّعاء بأنّ الدليل الخاصّ بصدد بيان حدود ودائرة الموضوع الذي اتّخذ في الدليل العامّ موضوعاً للحكم. بينما الدليل الذي تعلّق فيه الأمر بالصلاة في المثال المذكور ليس في مقام بيان ماهيّة الصلاة ولا تحديد موضوعها، وإنّما جاء بيان حقيقتها وأجزائها في دليل آخر، ولأجل ذلك لا يمكن عدّ الدليل الناهي عن بعض أجزاء الصلاة بمنزلة المبيّن لموضوع الحكم في الدليل الأوّل.</w:t>
      </w:r>
    </w:p>
    <w:p w14:paraId="7D9979DE" w14:textId="26D41A3F" w:rsidR="001B24FC" w:rsidRPr="007F73E7" w:rsidRDefault="001B24FC" w:rsidP="007F73E7">
      <w:pPr>
        <w:rPr>
          <w:rtl/>
        </w:rPr>
      </w:pPr>
    </w:p>
    <w:sectPr w:rsidR="001B24FC" w:rsidRPr="007F73E7"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D583B" w14:textId="77777777" w:rsidR="00C459A0" w:rsidRDefault="00C459A0" w:rsidP="00C336C5">
      <w:pPr>
        <w:spacing w:after="0" w:line="240" w:lineRule="auto"/>
      </w:pPr>
      <w:r>
        <w:separator/>
      </w:r>
    </w:p>
  </w:endnote>
  <w:endnote w:type="continuationSeparator" w:id="0">
    <w:p w14:paraId="14994950" w14:textId="77777777" w:rsidR="00C459A0" w:rsidRDefault="00C459A0" w:rsidP="00C336C5">
      <w:pPr>
        <w:spacing w:after="0" w:line="240" w:lineRule="auto"/>
      </w:pPr>
      <w:r>
        <w:continuationSeparator/>
      </w:r>
    </w:p>
  </w:endnote>
  <w:endnote w:type="continuationNotice" w:id="1">
    <w:p w14:paraId="6EF99874" w14:textId="77777777" w:rsidR="00C459A0" w:rsidRDefault="00C459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07409" w14:textId="77777777" w:rsidR="00C459A0" w:rsidRDefault="00C459A0" w:rsidP="00C336C5">
      <w:pPr>
        <w:bidi/>
        <w:spacing w:after="0" w:line="240" w:lineRule="auto"/>
      </w:pPr>
      <w:r>
        <w:separator/>
      </w:r>
    </w:p>
  </w:footnote>
  <w:footnote w:type="continuationSeparator" w:id="0">
    <w:p w14:paraId="35895F9F" w14:textId="77777777" w:rsidR="00C459A0" w:rsidRDefault="00C459A0" w:rsidP="00C336C5">
      <w:pPr>
        <w:spacing w:after="0" w:line="240" w:lineRule="auto"/>
      </w:pPr>
      <w:r>
        <w:continuationSeparator/>
      </w:r>
    </w:p>
  </w:footnote>
  <w:footnote w:type="continuationNotice" w:id="1">
    <w:p w14:paraId="3C06EDEE" w14:textId="77777777" w:rsidR="00C459A0" w:rsidRDefault="00C459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6C12F73"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7F73E7">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F73E7">
                            <w:rPr>
                              <w:rFonts w:cs="B Mehr" w:hint="cs"/>
                              <w:rtl/>
                              <w:lang w:bidi="fa-IR"/>
                            </w:rPr>
                            <w:t>09</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6C12F73"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7F73E7">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F73E7">
                      <w:rPr>
                        <w:rFonts w:cs="B Mehr" w:hint="cs"/>
                        <w:rtl/>
                        <w:lang w:bidi="fa-IR"/>
                      </w:rPr>
                      <w:t>09</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3E7"/>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59A0"/>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8143468">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4109</TotalTime>
  <Pages>1</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1258</cp:revision>
  <cp:lastPrinted>2025-04-15T09:36:00Z</cp:lastPrinted>
  <dcterms:created xsi:type="dcterms:W3CDTF">2022-10-16T08:36:00Z</dcterms:created>
  <dcterms:modified xsi:type="dcterms:W3CDTF">2025-11-30T07:19:00Z</dcterms:modified>
</cp:coreProperties>
</file>