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BD4B" w14:textId="77777777" w:rsidR="00331C30" w:rsidRDefault="00331C30" w:rsidP="00331C30">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911CAA7" w14:textId="77777777" w:rsidR="00331C30" w:rsidRDefault="00331C30" w:rsidP="00331C30">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A982B6E" w14:textId="77777777" w:rsidR="00331C30" w:rsidRDefault="00331C30" w:rsidP="00331C30">
      <w:pPr>
        <w:widowControl w:val="0"/>
        <w:bidi/>
        <w:spacing w:after="240"/>
        <w:jc w:val="center"/>
        <w:rPr>
          <w:rFonts w:cs="B Mitra" w:hint="cs"/>
          <w:b/>
          <w:bCs/>
          <w:sz w:val="32"/>
          <w:szCs w:val="32"/>
          <w:rtl/>
          <w:lang w:bidi="fa-IR"/>
        </w:rPr>
      </w:pPr>
      <w:r>
        <w:rPr>
          <w:rFonts w:cs="B Mitra" w:hint="cs"/>
          <w:b/>
          <w:bCs/>
          <w:sz w:val="32"/>
          <w:szCs w:val="32"/>
          <w:rtl/>
          <w:lang w:bidi="fa-IR"/>
        </w:rPr>
        <w:t>جلسه 974</w:t>
      </w:r>
    </w:p>
    <w:bookmarkEnd w:id="0"/>
    <w:p w14:paraId="2AC6EEBB" w14:textId="77777777" w:rsidR="00331C30" w:rsidRDefault="00331C30" w:rsidP="00331C30">
      <w:pPr>
        <w:widowControl w:val="0"/>
        <w:bidi/>
        <w:spacing w:before="240" w:line="261" w:lineRule="auto"/>
        <w:ind w:firstLine="289"/>
        <w:jc w:val="both"/>
        <w:rPr>
          <w:rFonts w:cs="2  Mitra" w:hint="cs"/>
          <w:sz w:val="28"/>
          <w:szCs w:val="28"/>
          <w:rtl/>
        </w:rPr>
      </w:pPr>
    </w:p>
    <w:p w14:paraId="2CC1589F" w14:textId="77777777" w:rsidR="00331C30" w:rsidRDefault="00331C30" w:rsidP="00331C30">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گفتيم که مراد از تخصيص، اخراج حکمی فردی از افراد موضوع دليل عام از شمول آن دليل است.</w:t>
      </w:r>
    </w:p>
    <w:p w14:paraId="107199B1" w14:textId="77777777" w:rsidR="00331C30" w:rsidRDefault="00331C30" w:rsidP="00331C30">
      <w:pPr>
        <w:widowControl w:val="0"/>
        <w:bidi/>
        <w:spacing w:before="240" w:line="252" w:lineRule="auto"/>
        <w:ind w:firstLine="284"/>
        <w:jc w:val="both"/>
        <w:rPr>
          <w:rFonts w:cs="Abz-2 (Badr)" w:hint="cs"/>
          <w:sz w:val="28"/>
          <w:szCs w:val="28"/>
          <w:rtl/>
          <w:lang w:bidi="fa-IR"/>
        </w:rPr>
      </w:pPr>
      <w:bookmarkStart w:id="1" w:name="_Hlk214274681"/>
      <w:r>
        <w:rPr>
          <w:rFonts w:cs="2  Mitra" w:hint="cs"/>
          <w:color w:val="000000" w:themeColor="text1"/>
          <w:spacing w:val="-4"/>
          <w:sz w:val="28"/>
          <w:szCs w:val="28"/>
          <w:rtl/>
        </w:rPr>
        <w:t>مرحوم آخوند نيز در نهايت بحث عام و خاص و در بيان تفاوت تخصيص و نسخ، به اين نکته</w:t>
      </w:r>
      <w:r>
        <w:rPr>
          <w:rFonts w:cs="2  Mitra" w:hint="cs"/>
          <w:color w:val="000000" w:themeColor="text1"/>
          <w:spacing w:val="-4"/>
          <w:sz w:val="28"/>
          <w:szCs w:val="28"/>
          <w:rtl/>
        </w:rPr>
        <w:softHyphen/>
        <w:t>ای که گفته شد، اشاره کرده و فرموده</w:t>
      </w:r>
      <w:r>
        <w:rPr>
          <w:rFonts w:cs="2  Mitra" w:hint="cs"/>
          <w:color w:val="000000" w:themeColor="text1"/>
          <w:spacing w:val="-4"/>
          <w:sz w:val="28"/>
          <w:szCs w:val="28"/>
          <w:rtl/>
        </w:rPr>
        <w:softHyphen/>
        <w:t xml:space="preserve">اند: </w:t>
      </w:r>
      <w:r>
        <w:rPr>
          <w:rFonts w:cs="2  Mitra" w:hint="cs"/>
          <w:color w:val="0070C0"/>
          <w:spacing w:val="-4"/>
          <w:sz w:val="28"/>
          <w:szCs w:val="28"/>
          <w:rtl/>
        </w:rPr>
        <w:t>«</w:t>
      </w:r>
      <w:r>
        <w:rPr>
          <w:rFonts w:cs="Abz-2 (Badr)" w:hint="cs"/>
          <w:color w:val="0070C0"/>
          <w:spacing w:val="-4"/>
          <w:sz w:val="28"/>
          <w:szCs w:val="28"/>
          <w:rtl/>
          <w:lang w:bidi="fa-IR"/>
        </w:rPr>
        <w:t>لا يخفى ثبوت الثمرة بين التخصيص‏ والنسخ، ضرورة أنّه على التخصيص‏ يبنى على خروج الخاصّ عن حكم العامّ رأساً، وعلى النسخ على ارتفاع حكمه عنه من حينه فيما دار الأمر بينهما في المخصّص. وأمّا إذا دار بينهما في الخاصّ والعام، فالخاصّ على التخصيص‏ غير محكوم بحكم العامّ أصلاً، وعلى النسخ كان محكوماً به من حين صدور دليله كما لا يخفى.</w:t>
      </w:r>
      <w:r>
        <w:rPr>
          <w:rFonts w:cs="2  Mitra" w:hint="cs"/>
          <w:color w:val="0070C0"/>
          <w:spacing w:val="-4"/>
          <w:sz w:val="28"/>
          <w:szCs w:val="28"/>
          <w:rtl/>
        </w:rPr>
        <w:t>»</w:t>
      </w:r>
      <w:r>
        <w:rPr>
          <w:rFonts w:cs="Abz-2 (Badr)" w:hint="cs"/>
          <w:spacing w:val="-4"/>
          <w:sz w:val="28"/>
          <w:szCs w:val="28"/>
          <w:rtl/>
          <w:lang w:bidi="fa-IR"/>
        </w:rPr>
        <w:t>‏</w:t>
      </w:r>
      <w:r>
        <w:rPr>
          <w:rStyle w:val="FootnoteReference"/>
          <w:rFonts w:cs="Abz-2 (Badr)"/>
          <w:sz w:val="28"/>
          <w:szCs w:val="28"/>
          <w:rtl/>
        </w:rPr>
        <w:footnoteReference w:id="2"/>
      </w:r>
    </w:p>
    <w:p w14:paraId="7121CB2D" w14:textId="77777777" w:rsidR="00331C30" w:rsidRDefault="00331C30" w:rsidP="00331C30">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بلکه در کلمات مرحوم شيخ انصاری نيز در جايی که به بيان تعريف حکومت و فرق آن با تخصيص می</w:t>
      </w:r>
      <w:r>
        <w:rPr>
          <w:rFonts w:cs="2  Mitra" w:hint="cs"/>
          <w:color w:val="000000" w:themeColor="text1"/>
          <w:sz w:val="28"/>
          <w:szCs w:val="28"/>
          <w:rtl/>
        </w:rPr>
        <w:softHyphen/>
        <w:t>پردازند</w:t>
      </w:r>
      <w:r>
        <w:rPr>
          <w:rStyle w:val="FootnoteReference"/>
          <w:rFonts w:cs="Abz-2 (Badr)"/>
          <w:sz w:val="28"/>
          <w:szCs w:val="28"/>
          <w:rtl/>
        </w:rPr>
        <w:footnoteReference w:id="3"/>
      </w:r>
      <w:r>
        <w:rPr>
          <w:rFonts w:cs="2  Mitra" w:hint="cs"/>
          <w:color w:val="000000" w:themeColor="text1"/>
          <w:sz w:val="28"/>
          <w:szCs w:val="28"/>
          <w:rtl/>
        </w:rPr>
        <w:t>، می</w:t>
      </w:r>
      <w:r>
        <w:rPr>
          <w:rFonts w:cs="2  Mitra" w:hint="cs"/>
          <w:color w:val="000000" w:themeColor="text1"/>
          <w:sz w:val="28"/>
          <w:szCs w:val="28"/>
          <w:rtl/>
        </w:rPr>
        <w:softHyphen/>
        <w:t>توان به اين نکته دست يافت.</w:t>
      </w:r>
    </w:p>
    <w:p w14:paraId="387C802C" w14:textId="77777777" w:rsidR="00331C30" w:rsidRDefault="00331C30" w:rsidP="00331C30">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بر همین اساس آنچه که از اقسام مخصص متصل شمرده شده است، جز در مورد استثناء، در واقع مخصص نیست؛ زیرا در سایر اقسام، آنچه رخ می‌دهد يا اخراج موضوعی است و يا سبب تقييد حکم می</w:t>
      </w:r>
      <w:r>
        <w:rPr>
          <w:rFonts w:cs="2  Mitra" w:hint="cs"/>
          <w:color w:val="000000" w:themeColor="text1"/>
          <w:sz w:val="28"/>
          <w:szCs w:val="28"/>
          <w:rtl/>
        </w:rPr>
        <w:softHyphen/>
        <w:t>شود، نه اين که فردی از افراد عام را از تحت حکمی که بر عام مترتب شده است، اخراج نمايد.</w:t>
      </w:r>
    </w:p>
    <w:p w14:paraId="1B4DF785" w14:textId="77777777" w:rsidR="00331C30" w:rsidRDefault="00331C30" w:rsidP="00331C30">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به همین جهت سخن اصحاب ابوحنیفه که گفته‌اند تخصیص عام به مخصص متصل در حقیقت تخصیص محسوب نمی‌شود، مدعای صحيحی است، هرچند مدعای آنان در مورد استثناء ناتمام است، چون در استثناء، اخراج به نحو حکمی است نه موضوعی.</w:t>
      </w:r>
    </w:p>
    <w:p w14:paraId="191D7380" w14:textId="77777777" w:rsidR="00331C30" w:rsidRDefault="00331C30" w:rsidP="00331C30">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lastRenderedPageBreak/>
        <w:t>البته در مبحث مفاهیم گذشت که «إلا» گاهی به صورت وصفی استعمال می‌شود که در این صورت موجب می‌گردد که موضوع حکم به عدم مدخول «إلا» مقیّد شود، نه این که مستثنی از تحت حکم مستثنی‌منه اخراج شود. در چنین مواردی تخصیصی با «إلا» صورت نمی‌گیرد، بلکه «إلا» سبب می‌شود مدخول آن تخصّصاً از موضوع حکم خارج شود. شاید خلط میان این دو قسم از «إلا» سبب شده باشد که اصحاب ابوحنیفه استثناء با «إلا» را مطلقاً از اقسام تخصیص ندانند.</w:t>
      </w:r>
    </w:p>
    <w:p w14:paraId="19E4A23C" w14:textId="77777777" w:rsidR="00331C30" w:rsidRDefault="00331C30" w:rsidP="00331C30">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اما آنچه که موجب شده است که مرحوم ایروانی احتمال دهد که استثناء از اقسام مخصص منفصل است، شايد اين مطلب باشد که در نظر ایشان، تخصیص به متصل در واقع چیزی جز تضييق موضوع حکم نیست.</w:t>
      </w:r>
    </w:p>
    <w:p w14:paraId="73309C21" w14:textId="77777777" w:rsidR="00331C30" w:rsidRDefault="00331C30" w:rsidP="00331C30">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 xml:space="preserve">اما اشکال این دیدگاه آن است که در این صورت، تقسیم تخصیص به متصل و منفصل وجهی نخواهد داشت، بلکه مخصص متصل اساساً مخصص محسوب نخواهد شد و اطلاق اسم «مخصص» بر آن مسامحی خواهد بود. </w:t>
      </w:r>
    </w:p>
    <w:p w14:paraId="2AE29101" w14:textId="77777777" w:rsidR="00331C30" w:rsidRDefault="00331C30" w:rsidP="00331C30">
      <w:pPr>
        <w:widowControl w:val="0"/>
        <w:bidi/>
        <w:spacing w:before="240"/>
        <w:ind w:firstLine="284"/>
        <w:jc w:val="both"/>
        <w:rPr>
          <w:rFonts w:cs="2  Mitra"/>
          <w:color w:val="000000" w:themeColor="text1"/>
          <w:spacing w:val="-4"/>
          <w:sz w:val="28"/>
          <w:szCs w:val="28"/>
        </w:rPr>
      </w:pPr>
      <w:r>
        <w:rPr>
          <w:rFonts w:cs="2  Mitra" w:hint="cs"/>
          <w:color w:val="000000" w:themeColor="text1"/>
          <w:spacing w:val="-4"/>
          <w:sz w:val="28"/>
          <w:szCs w:val="28"/>
          <w:rtl/>
        </w:rPr>
        <w:t>بنابر این صحیح‌تر آن است که گفته شود: مخصص متصل عبارت است از مرکبی ناقص که جزئی از جمله‌ای است که در آن حکم عام بیان شده و موجب خروج برخی افراد از شمول حکم می‌گردد، بدون آن که در موضوع حکم تصرفی شود. بر این اساس، تخصیص به متصل فقط در مواردی تحقق می‌یابد که فرد یا افرادی با «إلا»ی استثناء و نظایر آن از تحت حکم عام خارج شوند.</w:t>
      </w:r>
    </w:p>
    <w:p w14:paraId="50E1A64F" w14:textId="77777777" w:rsidR="00331C30" w:rsidRDefault="00331C30" w:rsidP="00331C30">
      <w:pPr>
        <w:widowControl w:val="0"/>
        <w:bidi/>
        <w:spacing w:before="240"/>
        <w:ind w:firstLine="284"/>
        <w:jc w:val="both"/>
        <w:rPr>
          <w:rFonts w:cs="2  Mitra"/>
          <w:color w:val="000000" w:themeColor="text1"/>
          <w:sz w:val="28"/>
          <w:szCs w:val="28"/>
        </w:rPr>
      </w:pPr>
      <w:r>
        <w:rPr>
          <w:rFonts w:cs="2  Mitra" w:hint="cs"/>
          <w:color w:val="000000" w:themeColor="text1"/>
          <w:sz w:val="28"/>
          <w:szCs w:val="28"/>
          <w:rtl/>
        </w:rPr>
        <w:t>اما مخصص منفصل، مرکبی تام است که مدلول آن، اخراج برخی افراد از شمول حکمی است که بر عام مترتب شده است؛ هرچند این مرکب بلافاصله پس از جمله‌ای بیاید که حکم عام در آن بیان شده است. برای مثال، در عبارت «</w:t>
      </w:r>
      <w:r>
        <w:rPr>
          <w:rFonts w:cs="Abz-2 (Badr)" w:hint="cs"/>
          <w:color w:val="000000" w:themeColor="text1"/>
          <w:sz w:val="28"/>
          <w:szCs w:val="28"/>
          <w:rtl/>
        </w:rPr>
        <w:t>أكرم كلّ عالم ولا تكرم الفسّاق منهم</w:t>
      </w:r>
      <w:r>
        <w:rPr>
          <w:rFonts w:cs="2  Mitra" w:hint="cs"/>
          <w:color w:val="000000" w:themeColor="text1"/>
          <w:sz w:val="28"/>
          <w:szCs w:val="28"/>
          <w:rtl/>
        </w:rPr>
        <w:t>»، تخصیص به وسیله مخصص منفصل صورت گرفته است نه متصل.</w:t>
      </w:r>
    </w:p>
    <w:bookmarkEnd w:id="1"/>
    <w:p w14:paraId="7BB60175" w14:textId="77777777" w:rsidR="00331C30" w:rsidRDefault="00331C30" w:rsidP="00331C30">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با توجه به آنچه گذشت، روشن می‌شود که در جمله‌ی «</w:t>
      </w:r>
      <w:r>
        <w:rPr>
          <w:rFonts w:cs="Abz-2 (Badr)" w:hint="cs"/>
          <w:color w:val="000000" w:themeColor="text1"/>
          <w:sz w:val="28"/>
          <w:szCs w:val="28"/>
          <w:rtl/>
        </w:rPr>
        <w:t>أكرم كلّ عالم إلا الفسّاق منهم</w:t>
      </w:r>
      <w:r>
        <w:rPr>
          <w:rFonts w:cs="2  Mitra" w:hint="cs"/>
          <w:color w:val="000000" w:themeColor="text1"/>
          <w:sz w:val="28"/>
          <w:szCs w:val="28"/>
          <w:rtl/>
        </w:rPr>
        <w:t>»، اثر ورود استثناء، خارج کردن فسّاق از تحت شمول حکم وجوب اکرام است، نه تضییق موضوع وجوب اکرام به گونه‌ای که گفته شود: موضوع حکم تنها شامل علمای غیر فاسق می‌شود تا بدین وسیله بتوان این جمله را معادل «</w:t>
      </w:r>
      <w:r>
        <w:rPr>
          <w:rFonts w:cs="Abz-2 (Badr)" w:hint="cs"/>
          <w:color w:val="000000" w:themeColor="text1"/>
          <w:sz w:val="28"/>
          <w:szCs w:val="28"/>
          <w:rtl/>
        </w:rPr>
        <w:t>أكرم كلّ عالم غير فاسق</w:t>
      </w:r>
      <w:r>
        <w:rPr>
          <w:rFonts w:cs="2  Mitra" w:hint="cs"/>
          <w:color w:val="000000" w:themeColor="text1"/>
          <w:sz w:val="28"/>
          <w:szCs w:val="28"/>
          <w:rtl/>
        </w:rPr>
        <w:t>» دانست.</w:t>
      </w:r>
    </w:p>
    <w:p w14:paraId="1062E0C4" w14:textId="77777777" w:rsidR="00331C30" w:rsidRDefault="00331C30" w:rsidP="00331C30">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بنابر این از این جهت تفاوتی میان مخصّص متصل و مخصّص منفصل وجود ندارد، و تفصیلی که مرحوم آخوند در این مسئله داده‌اند، قابل پذیرش و التزام نیست.</w:t>
      </w:r>
    </w:p>
    <w:p w14:paraId="3C556B09" w14:textId="77777777" w:rsidR="00331C30" w:rsidRDefault="00331C30" w:rsidP="00331C30">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مؤيد اين مطلب نيز اين است که اگر مخصص منفصل را قرينه</w:t>
      </w:r>
      <w:r>
        <w:rPr>
          <w:rFonts w:cs="2  Mitra" w:hint="cs"/>
          <w:color w:val="000000" w:themeColor="text1"/>
          <w:sz w:val="28"/>
          <w:szCs w:val="28"/>
          <w:rtl/>
        </w:rPr>
        <w:softHyphen/>
        <w:t>ای برای تبيين مراد جدی متکلم بدانيم، از اين جهت با قرينه</w:t>
      </w:r>
      <w:r>
        <w:rPr>
          <w:rFonts w:cs="2  Mitra" w:hint="cs"/>
          <w:color w:val="000000" w:themeColor="text1"/>
          <w:sz w:val="28"/>
          <w:szCs w:val="28"/>
          <w:rtl/>
        </w:rPr>
        <w:softHyphen/>
        <w:t>ای که سبب تبيين مراد جدی از اطلاق کلام می</w:t>
      </w:r>
      <w:r>
        <w:rPr>
          <w:rFonts w:cs="2  Mitra" w:hint="cs"/>
          <w:color w:val="000000" w:themeColor="text1"/>
          <w:sz w:val="28"/>
          <w:szCs w:val="28"/>
          <w:rtl/>
        </w:rPr>
        <w:softHyphen/>
        <w:t xml:space="preserve">شود، تفاوتی نخواهد داشت. و همان گونه که در اطلاق، بين قرينه </w:t>
      </w:r>
      <w:r>
        <w:rPr>
          <w:rFonts w:cs="2  Mitra" w:hint="cs"/>
          <w:color w:val="000000" w:themeColor="text1"/>
          <w:sz w:val="28"/>
          <w:szCs w:val="28"/>
          <w:rtl/>
        </w:rPr>
        <w:lastRenderedPageBreak/>
        <w:t>متصل و قرينه منفصل از حيث قرينيت بر خلاف اطلاق کلام و تبيين مراد جدی متکلم، تفاوتی وجود ندارد، در تخصیص عام نيز نبايد بين مخصص متصل و مخصص منفصل از اين جهت تفاوتی وجود داشته باشد.</w:t>
      </w:r>
    </w:p>
    <w:p w14:paraId="33F81C13" w14:textId="77777777" w:rsidR="00331C30" w:rsidRDefault="00331C30" w:rsidP="00331C30">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بر اساس توضيحاتی که گذشت، معلوم می</w:t>
      </w:r>
      <w:r>
        <w:rPr>
          <w:rFonts w:cs="2  Mitra" w:hint="cs"/>
          <w:color w:val="000000" w:themeColor="text1"/>
          <w:sz w:val="28"/>
          <w:szCs w:val="28"/>
          <w:rtl/>
        </w:rPr>
        <w:softHyphen/>
        <w:t>شود که تخصيص معنایی بجز تبيين مراد جدّی متکلم از دليل عام نمی</w:t>
      </w:r>
      <w:r>
        <w:rPr>
          <w:rFonts w:cs="2  Mitra" w:hint="cs"/>
          <w:color w:val="000000" w:themeColor="text1"/>
          <w:sz w:val="28"/>
          <w:szCs w:val="28"/>
          <w:rtl/>
        </w:rPr>
        <w:softHyphen/>
        <w:t>تواند داشته باشد، زيرا دليل خاص فقط در صدد بيان دايره حکمی است که در دليل عام وارد شده است و دایره آن حکم را تضييق می</w:t>
      </w:r>
      <w:r>
        <w:rPr>
          <w:rFonts w:cs="2  Mitra" w:hint="cs"/>
          <w:color w:val="000000" w:themeColor="text1"/>
          <w:sz w:val="28"/>
          <w:szCs w:val="28"/>
          <w:rtl/>
        </w:rPr>
        <w:softHyphen/>
        <w:t>کند، ولی به موضوع آن حکم، ناظر نيست تا اين که از ورود آن، مجاز در استعمال عام لازم بيايد.</w:t>
      </w:r>
    </w:p>
    <w:p w14:paraId="5059DCA5" w14:textId="77777777" w:rsidR="00331C30" w:rsidRDefault="00331C30" w:rsidP="00331C30">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در نتيجه عنوان مسأله بايد به اين نحو مطرح شود که اگر دليلی وارد شود و شک کنيم که اين دليل در صدد تخصيص دليل عام است تا اين که مبيّن مراد جدّی متکلم از عام محسوب شود، يا اين که قرینه</w:t>
      </w:r>
      <w:r>
        <w:rPr>
          <w:rFonts w:cs="2  Mitra" w:hint="cs"/>
          <w:color w:val="000000" w:themeColor="text1"/>
          <w:sz w:val="28"/>
          <w:szCs w:val="28"/>
          <w:rtl/>
        </w:rPr>
        <w:softHyphen/>
        <w:t>ای است که سبب می</w:t>
      </w:r>
      <w:r>
        <w:rPr>
          <w:rFonts w:cs="2  Mitra" w:hint="cs"/>
          <w:color w:val="000000" w:themeColor="text1"/>
          <w:sz w:val="28"/>
          <w:szCs w:val="28"/>
          <w:rtl/>
        </w:rPr>
        <w:softHyphen/>
        <w:t>شود مراد استعمالی متکلم از لفظی که در دليل عام به عنوان موضوع حکم اخذ شده، تبيين شود و آن را به برخی از افراد عام محدود نمايد، آيا اصلی وجود دارد که بر اساس آن بتوان يکی از اين دو احتمال را متعيّن دانست؟</w:t>
      </w:r>
    </w:p>
    <w:p w14:paraId="22727452" w14:textId="77777777" w:rsidR="00331C30" w:rsidRDefault="00331C30" w:rsidP="00331C30">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پاسخ نيز اين است که مقتضای اصل در چنين مواردی تخصيص است و وجه آن همان مطلبی است که در پاسخ به اشکال مرحوم شهيد صدر بيان کرديم.</w:t>
      </w:r>
    </w:p>
    <w:p w14:paraId="1BE5211E" w14:textId="77777777" w:rsidR="00331C30" w:rsidRDefault="00331C30" w:rsidP="00331C30">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قلنا: إنّ المقصود من التخصيص هو الإخراج الحكمي لفرد من أفراد موضوع الدليل العامّ عن شمول ذلك الدليل.</w:t>
      </w:r>
    </w:p>
    <w:p w14:paraId="40343FA2" w14:textId="77777777" w:rsidR="00331C30" w:rsidRDefault="00331C30" w:rsidP="00331C30">
      <w:pPr>
        <w:widowControl w:val="0"/>
        <w:bidi/>
        <w:spacing w:after="0"/>
        <w:ind w:firstLine="284"/>
        <w:jc w:val="both"/>
        <w:rPr>
          <w:rFonts w:cs="Abz-2 (Badr)" w:hint="cs"/>
          <w:spacing w:val="-4"/>
          <w:sz w:val="28"/>
          <w:szCs w:val="28"/>
          <w:rtl/>
          <w:lang w:bidi="fa-IR"/>
        </w:rPr>
      </w:pPr>
      <w:r>
        <w:rPr>
          <w:rFonts w:cs="Abz-2 (Badr)" w:hint="cs"/>
          <w:color w:val="000000" w:themeColor="text1"/>
          <w:sz w:val="28"/>
          <w:szCs w:val="28"/>
          <w:rtl/>
        </w:rPr>
        <w:t>وقد نبّه الآخوند أيضاً في نهاية بحث العامّ والخاص وفي مقام بيان الفرق بين التخصيص والنسخ، إلى هذا المعنی للتخصيص حيث قال</w:t>
      </w:r>
      <w:r>
        <w:rPr>
          <w:rFonts w:cs="Abz-2 (Badr)" w:hint="cs"/>
          <w:color w:val="000000" w:themeColor="text1"/>
          <w:spacing w:val="-4"/>
          <w:sz w:val="28"/>
          <w:szCs w:val="28"/>
          <w:rtl/>
        </w:rPr>
        <w:t xml:space="preserve">: </w:t>
      </w:r>
      <w:r>
        <w:rPr>
          <w:rFonts w:cs="Abz-2 (Badr)" w:hint="cs"/>
          <w:color w:val="0070C0"/>
          <w:spacing w:val="-4"/>
          <w:sz w:val="28"/>
          <w:szCs w:val="28"/>
          <w:rtl/>
        </w:rPr>
        <w:t>«</w:t>
      </w:r>
      <w:r>
        <w:rPr>
          <w:rFonts w:cs="Abz-2 (Badr)" w:hint="cs"/>
          <w:color w:val="0070C0"/>
          <w:spacing w:val="-4"/>
          <w:sz w:val="28"/>
          <w:szCs w:val="28"/>
          <w:rtl/>
          <w:lang w:bidi="fa-IR"/>
        </w:rPr>
        <w:t>لا يخفى ثبوت الثمرة بين التخصيص‏ والنسخ، ضرورة أنّه على التخصيص‏ يبنى على خروج الخاصّ عن حكم العامّ رأساً، وعلى النسخ على ارتفاع حكمه عنه من حينه فيما دار الأمر بينهما في المخصّص. وأمّا إذا دار بينهما في الخاصّ والعام، فالخاصّ على التخصيص‏ غير محكوم بحكم العامّ أصلاً، وعلى النسخ كان محكوماً به من حين صدور دليله كما لا يخفى.</w:t>
      </w:r>
      <w:r>
        <w:rPr>
          <w:rFonts w:cs="Abz-2 (Badr)" w:hint="cs"/>
          <w:color w:val="0070C0"/>
          <w:spacing w:val="-4"/>
          <w:sz w:val="28"/>
          <w:szCs w:val="28"/>
          <w:rtl/>
        </w:rPr>
        <w:t>»</w:t>
      </w:r>
      <w:r>
        <w:rPr>
          <w:rFonts w:cs="Abz-2 (Badr)" w:hint="cs"/>
          <w:color w:val="0070C0"/>
          <w:spacing w:val="-4"/>
          <w:sz w:val="28"/>
          <w:szCs w:val="28"/>
          <w:rtl/>
          <w:lang w:bidi="fa-IR"/>
        </w:rPr>
        <w:t>‏</w:t>
      </w:r>
      <w:r>
        <w:rPr>
          <w:rStyle w:val="FootnoteReference"/>
          <w:rFonts w:cs="Abz-2 (Badr)"/>
          <w:sz w:val="28"/>
          <w:szCs w:val="28"/>
          <w:rtl/>
        </w:rPr>
        <w:footnoteReference w:id="4"/>
      </w:r>
    </w:p>
    <w:p w14:paraId="2F7A0B7C" w14:textId="77777777" w:rsidR="00331C30" w:rsidRDefault="00331C30" w:rsidP="00331C30">
      <w:pPr>
        <w:widowControl w:val="0"/>
        <w:bidi/>
        <w:spacing w:after="0"/>
        <w:ind w:firstLine="284"/>
        <w:jc w:val="both"/>
        <w:rPr>
          <w:rFonts w:cs="2  Mitra" w:hint="cs"/>
          <w:color w:val="000000" w:themeColor="text1"/>
          <w:sz w:val="28"/>
          <w:szCs w:val="28"/>
          <w:rtl/>
        </w:rPr>
      </w:pPr>
      <w:r>
        <w:rPr>
          <w:rFonts w:cs="Abz-2 (Badr)" w:hint="cs"/>
          <w:spacing w:val="-4"/>
          <w:sz w:val="28"/>
          <w:szCs w:val="28"/>
          <w:rtl/>
        </w:rPr>
        <w:t>بل ويمكن أيضاً استظهار هذه النكتة من كلمات الشيخ الأنصاري في الموضع الذي يتعرّض فيه لتعريف الحكومة وبيان الفرق بينها وبين التخصيص</w:t>
      </w:r>
      <w:r>
        <w:rPr>
          <w:rStyle w:val="FootnoteReference"/>
          <w:rFonts w:cs="Abz-2 (Badr)"/>
          <w:sz w:val="28"/>
          <w:szCs w:val="28"/>
          <w:rtl/>
        </w:rPr>
        <w:footnoteReference w:id="5"/>
      </w:r>
      <w:r>
        <w:rPr>
          <w:rFonts w:cs="Abz-2 (Badr)" w:hint="cs"/>
          <w:spacing w:val="-4"/>
          <w:sz w:val="28"/>
          <w:szCs w:val="28"/>
          <w:rtl/>
        </w:rPr>
        <w:t>.</w:t>
      </w:r>
    </w:p>
    <w:p w14:paraId="78176185"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lastRenderedPageBreak/>
        <w:t>وبناءً على ذلك فإنّ ما عدّ من أقسام المخصّص المتّصل في کلمات بعض الأُصوليّين، لا يعدّ في الحقيقة من التخصيص إلا مورد الاستثناء، لأنّه في سائر الأقسام إمّا أن يخرج الفرد من تحت موضوع الدليل وإمّا أن يقيّد إطلاق الحكم، ولا يتحقّق فيها إخراج فرد من شمول الحكم المترتّب على العامّ.</w:t>
      </w:r>
    </w:p>
    <w:p w14:paraId="3405247A"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 xml:space="preserve">ومن هنا فإنّ ما ذكره أصحاب أبي حنيفة من أنّ تخصيص العامّ بالمخصّص المتّصل لا يعدّ تخصيصاً بالحقيقة، كلام صحيح في الجملة وإن كان مدّعاهم في مورد الاستثناء غير تامّ، </w:t>
      </w:r>
      <w:r>
        <w:rPr>
          <w:rFonts w:cs="Abz-2 (Badr)" w:hint="cs"/>
          <w:sz w:val="28"/>
          <w:szCs w:val="28"/>
          <w:rtl/>
        </w:rPr>
        <w:t>لأنّ الإخراج في باب الاستثناء إخراج حكمي لا موضوعي</w:t>
      </w:r>
      <w:r>
        <w:rPr>
          <w:rFonts w:cs="Abz-2 (Badr)" w:hint="cs"/>
          <w:spacing w:val="-4"/>
          <w:sz w:val="28"/>
          <w:szCs w:val="28"/>
          <w:rtl/>
        </w:rPr>
        <w:t>.</w:t>
      </w:r>
    </w:p>
    <w:p w14:paraId="44552B38" w14:textId="77777777" w:rsidR="00331C30" w:rsidRDefault="00331C30" w:rsidP="00331C30">
      <w:pPr>
        <w:widowControl w:val="0"/>
        <w:bidi/>
        <w:spacing w:after="0"/>
        <w:ind w:firstLine="284"/>
        <w:jc w:val="both"/>
        <w:rPr>
          <w:rFonts w:cs="Abz-2 (Badr)" w:hint="cs"/>
          <w:spacing w:val="-4"/>
          <w:sz w:val="28"/>
          <w:szCs w:val="28"/>
          <w:rtl/>
        </w:rPr>
      </w:pPr>
      <w:r>
        <w:rPr>
          <w:rFonts w:cs="Abz-2 (Badr)" w:hint="cs"/>
          <w:spacing w:val="-4"/>
          <w:sz w:val="28"/>
          <w:szCs w:val="28"/>
          <w:rtl/>
        </w:rPr>
        <w:t>نعم، قد تقدّم في مبحث المفاهيم أنّ «إلّا» قد تستعمل أحياناً استعمالًا وصفيّاً بحيث يقيّد موضوع الحكم بعدم مدخولها لا أن يُخرج مدخولها من تحت حكم المستثنى منه. وفي مثل هذه الموارد لا يتحقّق تخصيص بـ «إلّا»، بل تكون سبباً في خروج مدخولها عن موضوع الحكم تخصّصاً. ولعلّ الخلط بين هذين الاستعمالين هو الذي دعا أصحاب أبي حنيفة إلی نفي كون الاستثناء بـ «إلّا» من أقسام التخصيص مطلقاً.</w:t>
      </w:r>
    </w:p>
    <w:p w14:paraId="1267E773"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وأمّا ما أوجب للمحقّق الإيرواني أن يحتمل كون الاستثناء من أقسام المخصّص المنفصل، فلعلّه ما ارتآه من أنّ التخصيص بالمتّصل ليس في الحقيقة سوى تضييق لموضوع الحكم، لا إخراج حكمي لفرد من أفراد العامّ.</w:t>
      </w:r>
    </w:p>
    <w:p w14:paraId="3726F407" w14:textId="77777777" w:rsidR="00331C30" w:rsidRDefault="00331C30" w:rsidP="00331C30">
      <w:pPr>
        <w:widowControl w:val="0"/>
        <w:bidi/>
        <w:spacing w:after="0"/>
        <w:ind w:firstLine="284"/>
        <w:jc w:val="both"/>
        <w:rPr>
          <w:rFonts w:cs="Abz-2 (Badr)" w:hint="cs"/>
          <w:spacing w:val="-4"/>
          <w:sz w:val="28"/>
          <w:szCs w:val="28"/>
          <w:rtl/>
        </w:rPr>
      </w:pPr>
      <w:r>
        <w:rPr>
          <w:rFonts w:cs="Abz-2 (Badr)" w:hint="cs"/>
          <w:spacing w:val="-4"/>
          <w:sz w:val="28"/>
          <w:szCs w:val="28"/>
          <w:rtl/>
        </w:rPr>
        <w:t>غير أنّ الإشكال في هذا المبنى هو أنّه بناءً عليه لا يبقى وجه لتقسيم التخصيص إلى متّصل ومنفصل، بل لا يعدّ المخصّص المتّصل مخصّصاً أساساً ويكون إطلاق لفظ «المخصّص» عليه من باب المسامحة.</w:t>
      </w:r>
    </w:p>
    <w:p w14:paraId="6C6C94CB"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 xml:space="preserve">وعليه فالأولى أن يقال: إنّ المخصّص المتّصل عبارة عن مركّب ناقص يشكّل جزءً من الجملة التي يبيّن فيها الحكم العامّ ويوجب خروج بعض الأفراد عن شمول الحكم، من دون أن يقع فيه تصرّف في موضوع الحكم. وعلى هذا فلا يتحقّق التخصيص بالمتّصل إلّا في الموارد التي يخرج فيها فرد أو أفراد من تحت الحكم العامّ بواسطة «إلّا» الاستثنائيّة وأخواتها </w:t>
      </w:r>
      <w:r>
        <w:rPr>
          <w:rFonts w:cs="Abz-2 (Badr)" w:hint="cs"/>
          <w:sz w:val="28"/>
          <w:szCs w:val="28"/>
          <w:rtl/>
        </w:rPr>
        <w:t>ممّا تُخرج به الأفراد من تحت حكم العامّ.</w:t>
      </w:r>
    </w:p>
    <w:p w14:paraId="1C95314D"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وأمّا المخصّص المنفصل فهو مركّب تامّ يدلّ على إخراج بعض الأفراد من شمول الحكم المترتّب على العامّ، وإن ورد مباشرة بعد الجملة التي تضمّنت الحكم العامّ؛ فمثلاً في قولنا: «أكرم كلّ عالم ولا تكرم الفسّاق منهم»، يكون التخصيص بواسطة مخصّص منفصل لا متّصل.</w:t>
      </w:r>
    </w:p>
    <w:p w14:paraId="22910CB3" w14:textId="77777777" w:rsidR="00331C30" w:rsidRDefault="00331C30" w:rsidP="00331C30">
      <w:pPr>
        <w:widowControl w:val="0"/>
        <w:bidi/>
        <w:spacing w:after="0"/>
        <w:ind w:firstLine="284"/>
        <w:jc w:val="both"/>
        <w:rPr>
          <w:rFonts w:cs="Abz-2 (Badr)" w:hint="cs"/>
          <w:spacing w:val="-4"/>
          <w:sz w:val="28"/>
          <w:szCs w:val="28"/>
          <w:rtl/>
        </w:rPr>
      </w:pPr>
      <w:r>
        <w:rPr>
          <w:rFonts w:cs="Abz-2 (Badr)" w:hint="cs"/>
          <w:spacing w:val="-4"/>
          <w:sz w:val="28"/>
          <w:szCs w:val="28"/>
          <w:rtl/>
        </w:rPr>
        <w:t xml:space="preserve">فاتّضح أنّ الأثر المترتّب على دخول أداة الاستثناء في قولنا: «أكرم كلّ عالم إلّا الفسّاق منهم» هو إخراج الفسّاق من تحت شمول حكم وجوب الإكرام، لا تضييق موضوع وجوب الإكرام حتّی يقال: إنّ موضوع الحكم لا يشمل إلّا العلماء غير الفسّاق </w:t>
      </w:r>
      <w:r>
        <w:rPr>
          <w:rFonts w:cs="Abz-2 (Badr)" w:hint="cs"/>
          <w:spacing w:val="-4"/>
          <w:sz w:val="28"/>
          <w:szCs w:val="28"/>
          <w:rtl/>
        </w:rPr>
        <w:lastRenderedPageBreak/>
        <w:t>ليجعل بذلك هذا التركيب معادلاً لعبارة: «أكرم كلّ عالم غير فاسق».</w:t>
      </w:r>
    </w:p>
    <w:p w14:paraId="31A0EB92" w14:textId="77777777" w:rsidR="00331C30" w:rsidRDefault="00331C30" w:rsidP="00331C30">
      <w:pPr>
        <w:widowControl w:val="0"/>
        <w:bidi/>
        <w:spacing w:after="0"/>
        <w:ind w:firstLine="284"/>
        <w:jc w:val="both"/>
        <w:rPr>
          <w:rFonts w:cs="Abz-2 (Badr)" w:hint="cs"/>
          <w:spacing w:val="-4"/>
          <w:sz w:val="28"/>
          <w:szCs w:val="28"/>
          <w:rtl/>
        </w:rPr>
      </w:pPr>
      <w:bookmarkStart w:id="2" w:name="_Hlk214701510"/>
      <w:r>
        <w:rPr>
          <w:rFonts w:cs="Abz-2 (Badr)" w:hint="cs"/>
          <w:spacing w:val="-4"/>
          <w:sz w:val="28"/>
          <w:szCs w:val="28"/>
          <w:rtl/>
        </w:rPr>
        <w:t>ومن ثمّ لا يوجد من هذه الجهة فرق بين المخصّص المتّصل والمخصّص المنفصل، والتفصيل الذي ذكره الآخوند في هذه المسألة غير قابل للقبول والالتزام.</w:t>
      </w:r>
    </w:p>
    <w:p w14:paraId="057A10E4" w14:textId="77777777" w:rsidR="00331C30" w:rsidRDefault="00331C30" w:rsidP="00331C30">
      <w:pPr>
        <w:widowControl w:val="0"/>
        <w:bidi/>
        <w:spacing w:after="0"/>
        <w:ind w:firstLine="284"/>
        <w:jc w:val="both"/>
        <w:rPr>
          <w:rFonts w:cs="Abz-2 (Badr)" w:hint="cs"/>
          <w:spacing w:val="-4"/>
          <w:sz w:val="28"/>
          <w:szCs w:val="28"/>
          <w:rtl/>
        </w:rPr>
      </w:pPr>
      <w:r>
        <w:rPr>
          <w:rFonts w:cs="Abz-2 (Badr)" w:hint="cs"/>
          <w:spacing w:val="-4"/>
          <w:sz w:val="28"/>
          <w:szCs w:val="28"/>
          <w:rtl/>
        </w:rPr>
        <w:t>وممّا يؤيّد هذا المطلب أنّه إن قلنا بأنّ المخصّص المنفصل قرينة على بيان المراد الجدّي للمتكلّم ـ كما ذهب إليه المحقّق الخراساني ـ لما كان من هذه الجهة فارق بينه وبين القرينة التي تبيّن المراد الجدّي من إطلاق الكلام. فكما لا يوجد في موارد الإطلاق تفاوت من حيث قرينيّة الكشف عن المراد الجدّي للمتكلّم بين القرينة المتّصلة والقرينة المنفصلة، كذلك في تخصيص العامّ لا ينبغي أن يكون هناك فرق من هذه الجهة بين المخصّص المتّصل والمخصّص المنفصل.</w:t>
      </w:r>
    </w:p>
    <w:p w14:paraId="36E6ADEE" w14:textId="77777777" w:rsidR="00331C30" w:rsidRDefault="00331C30" w:rsidP="00331C30">
      <w:pPr>
        <w:widowControl w:val="0"/>
        <w:bidi/>
        <w:spacing w:after="0"/>
        <w:ind w:firstLine="284"/>
        <w:jc w:val="both"/>
        <w:rPr>
          <w:rFonts w:cs="Abz-2 (Badr)" w:hint="cs"/>
          <w:spacing w:val="-4"/>
          <w:sz w:val="28"/>
          <w:szCs w:val="28"/>
          <w:rtl/>
        </w:rPr>
      </w:pPr>
      <w:r>
        <w:rPr>
          <w:rFonts w:cs="Abz-2 (Badr)" w:hint="cs"/>
          <w:spacing w:val="-4"/>
          <w:sz w:val="28"/>
          <w:szCs w:val="28"/>
          <w:rtl/>
        </w:rPr>
        <w:t>وبناءً على ما تقدّم من التوضيحات يتبيّن أنّ التخصيص لا يمكن أن يكون بمعنى آخر غير بيان المراد الجدّي للمتكلّم من الدليل العامّ، وذلك لأنّ الدليل الخاصّ إنّما يرد لبيان دائرة الحكم الثابت في الدليل العامّ وتضييقه، ولا يکون ناظراً إلى موضوع ذلك الحكم حتّى يلزم من وروده القول بالمجاز في استعمال العامّ.</w:t>
      </w:r>
    </w:p>
    <w:p w14:paraId="4AAB58A7"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وعليه ينبغي أن تطرح صورة المسألة على النحو الآتي: إذا ورد دليل وتردّدنا في أنّه بصدد تخصيص الدليل العامّ بحيث يكون مبيّناً للمراد الجدّي للمتكلّم من العامّ، أو أنّه قرينة لبيان المراد الاستعمالي للمتكلّم من اللفظ الذي اتّخذ في الدليل العامّ موضوعاً للحكم بحيث يحدّده ويقيّده ببعض أفراد العامّ فيکون استعمال اللفظ العامّ مجازيّاً، فهل يوجد هناك أصل يمكن بموجبه تعيين أحد هذين الاحتمالين؟</w:t>
      </w:r>
    </w:p>
    <w:p w14:paraId="2A74ECAA" w14:textId="77777777" w:rsidR="00331C30" w:rsidRDefault="00331C30" w:rsidP="00331C30">
      <w:pPr>
        <w:widowControl w:val="0"/>
        <w:bidi/>
        <w:spacing w:after="0"/>
        <w:ind w:firstLine="284"/>
        <w:jc w:val="both"/>
        <w:rPr>
          <w:rFonts w:cs="Abz-2 (Badr)"/>
          <w:spacing w:val="-4"/>
          <w:sz w:val="28"/>
          <w:szCs w:val="28"/>
        </w:rPr>
      </w:pPr>
      <w:r>
        <w:rPr>
          <w:rFonts w:cs="Abz-2 (Badr)" w:hint="cs"/>
          <w:spacing w:val="-4"/>
          <w:sz w:val="28"/>
          <w:szCs w:val="28"/>
          <w:rtl/>
        </w:rPr>
        <w:t>والجواب: أنّ مقتضى الأصل في مثل هذه الموارد هو التخصيص، والوجه في ذلك هو بعينه ما تقدّم في مقام الجواب عن إشكال الشهيد الصدر.</w:t>
      </w:r>
    </w:p>
    <w:bookmarkEnd w:id="2"/>
    <w:p w14:paraId="62A8021C" w14:textId="77777777" w:rsidR="00331C30" w:rsidRDefault="00331C30" w:rsidP="00331C30">
      <w:pPr>
        <w:widowControl w:val="0"/>
        <w:bidi/>
        <w:spacing w:after="0"/>
        <w:ind w:firstLine="284"/>
        <w:jc w:val="both"/>
        <w:rPr>
          <w:rFonts w:cs="Abz-2 (Badr)"/>
          <w:spacing w:val="-4"/>
          <w:sz w:val="28"/>
          <w:szCs w:val="28"/>
        </w:rPr>
      </w:pPr>
    </w:p>
    <w:p w14:paraId="6265C988" w14:textId="77777777" w:rsidR="00331C30" w:rsidRDefault="00331C30" w:rsidP="00331C30">
      <w:pPr>
        <w:widowControl w:val="0"/>
        <w:bidi/>
        <w:spacing w:after="0"/>
        <w:ind w:firstLine="284"/>
        <w:jc w:val="both"/>
        <w:rPr>
          <w:rFonts w:cs="Abz-2 (Badr)" w:hint="cs"/>
          <w:spacing w:val="-4"/>
          <w:sz w:val="28"/>
          <w:szCs w:val="28"/>
          <w:rtl/>
        </w:rPr>
      </w:pPr>
    </w:p>
    <w:p w14:paraId="75F14CAE" w14:textId="77777777" w:rsidR="00331C30" w:rsidRDefault="00331C30" w:rsidP="00331C30">
      <w:pPr>
        <w:widowControl w:val="0"/>
        <w:bidi/>
        <w:spacing w:after="0"/>
        <w:ind w:firstLine="284"/>
        <w:jc w:val="both"/>
        <w:rPr>
          <w:rFonts w:cs="2  Mitra"/>
          <w:color w:val="000000" w:themeColor="text1"/>
          <w:sz w:val="28"/>
          <w:szCs w:val="28"/>
          <w:lang w:bidi="fa-IR"/>
        </w:rPr>
      </w:pPr>
    </w:p>
    <w:p w14:paraId="7D9979DE" w14:textId="26D41A3F" w:rsidR="001B24FC" w:rsidRPr="00331C30" w:rsidRDefault="001B24FC" w:rsidP="00331C30">
      <w:pPr>
        <w:rPr>
          <w:rtl/>
        </w:rPr>
      </w:pPr>
    </w:p>
    <w:sectPr w:rsidR="001B24FC" w:rsidRPr="00331C30"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2ABA" w14:textId="77777777" w:rsidR="00276AAB" w:rsidRDefault="00276AAB" w:rsidP="00C336C5">
      <w:pPr>
        <w:spacing w:after="0" w:line="240" w:lineRule="auto"/>
      </w:pPr>
      <w:r>
        <w:separator/>
      </w:r>
    </w:p>
  </w:endnote>
  <w:endnote w:type="continuationSeparator" w:id="0">
    <w:p w14:paraId="642EF6C1" w14:textId="77777777" w:rsidR="00276AAB" w:rsidRDefault="00276AAB" w:rsidP="00C336C5">
      <w:pPr>
        <w:spacing w:after="0" w:line="240" w:lineRule="auto"/>
      </w:pPr>
      <w:r>
        <w:continuationSeparator/>
      </w:r>
    </w:p>
  </w:endnote>
  <w:endnote w:type="continuationNotice" w:id="1">
    <w:p w14:paraId="0BBFD1D1" w14:textId="77777777" w:rsidR="00276AAB" w:rsidRDefault="00276A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8E38" w14:textId="77777777" w:rsidR="00276AAB" w:rsidRDefault="00276AAB" w:rsidP="00C336C5">
      <w:pPr>
        <w:bidi/>
        <w:spacing w:after="0" w:line="240" w:lineRule="auto"/>
      </w:pPr>
      <w:r>
        <w:separator/>
      </w:r>
    </w:p>
  </w:footnote>
  <w:footnote w:type="continuationSeparator" w:id="0">
    <w:p w14:paraId="53389E79" w14:textId="77777777" w:rsidR="00276AAB" w:rsidRDefault="00276AAB" w:rsidP="00C336C5">
      <w:pPr>
        <w:spacing w:after="0" w:line="240" w:lineRule="auto"/>
      </w:pPr>
      <w:r>
        <w:continuationSeparator/>
      </w:r>
    </w:p>
  </w:footnote>
  <w:footnote w:type="continuationNotice" w:id="1">
    <w:p w14:paraId="17C81E41" w14:textId="77777777" w:rsidR="00276AAB" w:rsidRDefault="00276AAB">
      <w:pPr>
        <w:spacing w:after="0" w:line="240" w:lineRule="auto"/>
      </w:pPr>
    </w:p>
  </w:footnote>
  <w:footnote w:id="2">
    <w:p w14:paraId="4517AD17" w14:textId="77777777" w:rsidR="00331C30" w:rsidRDefault="00331C30" w:rsidP="00331C30">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ـ کفاية الأُصول،ص240.</w:t>
      </w:r>
    </w:p>
  </w:footnote>
  <w:footnote w:id="3">
    <w:p w14:paraId="38582B31" w14:textId="77777777" w:rsidR="00331C30" w:rsidRDefault="00331C30" w:rsidP="00331C30">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راجع: فرائد الأُصول،ج4،ص14.</w:t>
      </w:r>
    </w:p>
  </w:footnote>
  <w:footnote w:id="4">
    <w:p w14:paraId="297DB67E" w14:textId="77777777" w:rsidR="00331C30" w:rsidRDefault="00331C30" w:rsidP="00331C30">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کفاية الأُصول،ص240.</w:t>
      </w:r>
    </w:p>
  </w:footnote>
  <w:footnote w:id="5">
    <w:p w14:paraId="56CEC262" w14:textId="77777777" w:rsidR="00331C30" w:rsidRDefault="00331C30" w:rsidP="00331C30">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راجع: فرائد الأُصول،ج4،ص14.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156C32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31C30">
                            <w:rPr>
                              <w:rFonts w:cs="B Mehr" w:hint="cs"/>
                              <w:rtl/>
                              <w:lang w:bidi="fa-IR"/>
                            </w:rPr>
                            <w:t>08</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156C32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31C30">
                      <w:rPr>
                        <w:rFonts w:cs="B Mehr" w:hint="cs"/>
                        <w:rtl/>
                        <w:lang w:bidi="fa-IR"/>
                      </w:rPr>
                      <w:t>08</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4109</TotalTime>
  <Pages>1</Pages>
  <Words>1267</Words>
  <Characters>7223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1256</cp:revision>
  <cp:lastPrinted>2025-04-15T09:36:00Z</cp:lastPrinted>
  <dcterms:created xsi:type="dcterms:W3CDTF">2022-10-16T08:36:00Z</dcterms:created>
  <dcterms:modified xsi:type="dcterms:W3CDTF">2025-11-29T07:13:00Z</dcterms:modified>
</cp:coreProperties>
</file>