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25D75" w14:textId="77777777" w:rsidR="007E4FCC" w:rsidRDefault="007E4FCC" w:rsidP="007E4FCC">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9785AD8" w14:textId="77777777" w:rsidR="007E4FCC" w:rsidRDefault="007E4FCC" w:rsidP="007E4FCC">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19420EBA" w14:textId="77777777" w:rsidR="007E4FCC" w:rsidRDefault="007E4FCC" w:rsidP="007E4FCC">
      <w:pPr>
        <w:widowControl w:val="0"/>
        <w:bidi/>
        <w:spacing w:after="240"/>
        <w:jc w:val="center"/>
        <w:rPr>
          <w:rFonts w:cs="B Mitra" w:hint="cs"/>
          <w:b/>
          <w:bCs/>
          <w:sz w:val="32"/>
          <w:szCs w:val="32"/>
          <w:rtl/>
          <w:lang w:bidi="fa-IR"/>
        </w:rPr>
      </w:pPr>
      <w:r>
        <w:rPr>
          <w:rFonts w:cs="B Mitra" w:hint="cs"/>
          <w:b/>
          <w:bCs/>
          <w:sz w:val="32"/>
          <w:szCs w:val="32"/>
          <w:rtl/>
          <w:lang w:bidi="fa-IR"/>
        </w:rPr>
        <w:t>جلسه 973</w:t>
      </w:r>
    </w:p>
    <w:bookmarkEnd w:id="0"/>
    <w:p w14:paraId="163BAB99" w14:textId="77777777" w:rsidR="007E4FCC" w:rsidRDefault="007E4FCC" w:rsidP="007E4FCC">
      <w:pPr>
        <w:widowControl w:val="0"/>
        <w:bidi/>
        <w:spacing w:before="240" w:line="261" w:lineRule="auto"/>
        <w:ind w:firstLine="289"/>
        <w:jc w:val="both"/>
        <w:rPr>
          <w:rFonts w:cs="2  Mitra" w:hint="cs"/>
          <w:sz w:val="28"/>
          <w:szCs w:val="28"/>
          <w:rtl/>
        </w:rPr>
      </w:pPr>
    </w:p>
    <w:p w14:paraId="0A32BEA3" w14:textId="77777777" w:rsidR="007E4FCC" w:rsidRDefault="007E4FCC" w:rsidP="007E4FCC">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در مورد تخصيص تعريف</w:t>
      </w:r>
      <w:r>
        <w:rPr>
          <w:rFonts w:cs="2  Mitra" w:hint="cs"/>
          <w:color w:val="000000" w:themeColor="text1"/>
          <w:sz w:val="28"/>
          <w:szCs w:val="28"/>
          <w:rtl/>
        </w:rPr>
        <w:softHyphen/>
        <w:t>هایی در کلمات علمای اصول ذکر شده است که اکثر آنها خالی از اشکال نيستند.</w:t>
      </w:r>
    </w:p>
    <w:p w14:paraId="57C83394" w14:textId="77777777" w:rsidR="007E4FCC" w:rsidRDefault="007E4FCC" w:rsidP="007E4FCC">
      <w:pPr>
        <w:widowControl w:val="0"/>
        <w:bidi/>
        <w:spacing w:before="240" w:line="252" w:lineRule="auto"/>
        <w:ind w:firstLine="284"/>
        <w:jc w:val="both"/>
        <w:rPr>
          <w:rFonts w:cs="Abz-2 (Badr)" w:hint="cs"/>
          <w:color w:val="0070C0"/>
          <w:sz w:val="28"/>
          <w:szCs w:val="28"/>
          <w:rtl/>
        </w:rPr>
      </w:pPr>
      <w:r>
        <w:rPr>
          <w:rFonts w:cs="2  Mitra" w:hint="cs"/>
          <w:color w:val="000000" w:themeColor="text1"/>
          <w:sz w:val="28"/>
          <w:szCs w:val="28"/>
          <w:rtl/>
        </w:rPr>
        <w:t>ايجی در تعريف تخصيص می</w:t>
      </w:r>
      <w:r>
        <w:rPr>
          <w:rFonts w:cs="2  Mitra" w:hint="cs"/>
          <w:color w:val="000000" w:themeColor="text1"/>
          <w:sz w:val="28"/>
          <w:szCs w:val="28"/>
          <w:rtl/>
        </w:rPr>
        <w:softHyphen/>
        <w:t xml:space="preserve">گويد: </w:t>
      </w:r>
      <w:r>
        <w:rPr>
          <w:rFonts w:cs="2  Mitra" w:hint="cs"/>
          <w:color w:val="0070C0"/>
          <w:sz w:val="28"/>
          <w:szCs w:val="28"/>
          <w:rtl/>
        </w:rPr>
        <w:t>«</w:t>
      </w:r>
      <w:r>
        <w:rPr>
          <w:rFonts w:cs="Abz-2 (Badr)" w:hint="cs"/>
          <w:color w:val="0070C0"/>
          <w:sz w:val="28"/>
          <w:szCs w:val="28"/>
          <w:rtl/>
        </w:rPr>
        <w:t>التخصيص في الإصطلاح قصر العامّ علی بعض مسمّياته ويتناول ما أُريد به جميع المسمّيات أوّلاً ثمّ أُخرج بعض کما في الاستثناء ولم يرد إلا بعض مسمّياته ابتداءً کما في غيره.</w:t>
      </w:r>
    </w:p>
    <w:p w14:paraId="366F8FBB" w14:textId="77777777" w:rsidR="007E4FCC" w:rsidRDefault="007E4FCC" w:rsidP="007E4FCC">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وقال أبو الحسين: هو إخراج بعض ما يتناوله الخطاب عنه.</w:t>
      </w:r>
    </w:p>
    <w:p w14:paraId="70E9C00A" w14:textId="77777777" w:rsidR="007E4FCC" w:rsidRDefault="007E4FCC" w:rsidP="007E4FCC">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وأُورد عليه أنّ ما أُخرج فالخطاب لم يتناوله.</w:t>
      </w:r>
    </w:p>
    <w:p w14:paraId="527927EF" w14:textId="77777777" w:rsidR="007E4FCC" w:rsidRDefault="007E4FCC" w:rsidP="007E4FCC">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فأجاب بأنّ المراد ما يتناوله الخطاب بتقدير عدم المخصّص؛ کقولهم: «خصّص العامّ» و«هذا عامّ مخصّص»، ولا شكّ أنّ المخصّص ليس بعامّ، لکنّ المراد به کونه عامّاً لولا تخصيصه...</w:t>
      </w:r>
    </w:p>
    <w:p w14:paraId="0CFDCFAC" w14:textId="77777777" w:rsidR="007E4FCC" w:rsidRDefault="007E4FCC" w:rsidP="007E4FCC">
      <w:pPr>
        <w:widowControl w:val="0"/>
        <w:bidi/>
        <w:spacing w:before="240" w:line="252" w:lineRule="auto"/>
        <w:ind w:firstLine="284"/>
        <w:jc w:val="both"/>
        <w:rPr>
          <w:rFonts w:cs="Abz-2 (Badr)" w:hint="cs"/>
          <w:sz w:val="28"/>
          <w:szCs w:val="28"/>
          <w:rtl/>
        </w:rPr>
      </w:pPr>
      <w:r>
        <w:rPr>
          <w:rFonts w:cs="Abz-2 (Badr)" w:hint="cs"/>
          <w:color w:val="0070C0"/>
          <w:sz w:val="28"/>
          <w:szCs w:val="28"/>
          <w:rtl/>
        </w:rPr>
        <w:t>التخصيص كما يطلق على قصر العام على بعض مسمّياته، فقد يطلق على قصر اللفظ على بعض مسمّياته وإن لم يكن عامّاً؛ وذلك كما يطلق على اللفظ كونه عامّاً لتعدّد مسمّياته، مثاله: «عشرة»، يقال له عامّ باعتبار آحاده، فإذا قصر على خمسة بالاستثناء عنه قيل: قد خصّص...</w:t>
      </w:r>
      <w:r>
        <w:rPr>
          <w:rFonts w:cs="2  Mitra" w:hint="cs"/>
          <w:color w:val="0070C0"/>
          <w:sz w:val="28"/>
          <w:szCs w:val="28"/>
          <w:rtl/>
        </w:rPr>
        <w:t>»</w:t>
      </w:r>
      <w:r>
        <w:rPr>
          <w:rStyle w:val="FootnoteReference"/>
          <w:rFonts w:cs="Abz-2 (Badr)"/>
          <w:sz w:val="28"/>
          <w:szCs w:val="28"/>
          <w:rtl/>
        </w:rPr>
        <w:footnoteReference w:id="2"/>
      </w:r>
    </w:p>
    <w:p w14:paraId="0014B6C8" w14:textId="77777777" w:rsidR="007E4FCC" w:rsidRDefault="007E4FCC" w:rsidP="007E4FCC">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ظاهر اين تعريف اين است که وی تخصیص را به معنای اخراج فردی از افراد موضوع حکمی و يا جزئی از اجزاء آن از تحت آن موضوع می</w:t>
      </w:r>
      <w:r>
        <w:rPr>
          <w:rFonts w:cs="2  Mitra" w:hint="cs"/>
          <w:color w:val="000000" w:themeColor="text1"/>
          <w:sz w:val="28"/>
          <w:szCs w:val="28"/>
          <w:rtl/>
        </w:rPr>
        <w:softHyphen/>
        <w:t>داند.</w:t>
      </w:r>
    </w:p>
    <w:p w14:paraId="35B4BA19" w14:textId="77777777" w:rsidR="007E4FCC" w:rsidRDefault="007E4FCC" w:rsidP="007E4FCC">
      <w:pPr>
        <w:widowControl w:val="0"/>
        <w:bidi/>
        <w:spacing w:before="240" w:line="252" w:lineRule="auto"/>
        <w:ind w:firstLine="284"/>
        <w:jc w:val="both"/>
        <w:rPr>
          <w:rFonts w:cs="Abz-2 (Badr)" w:hint="cs"/>
          <w:sz w:val="28"/>
          <w:szCs w:val="28"/>
          <w:rtl/>
        </w:rPr>
      </w:pPr>
      <w:bookmarkStart w:id="1" w:name="_Hlk213926843"/>
      <w:r>
        <w:rPr>
          <w:rFonts w:cs="2  Mitra" w:hint="cs"/>
          <w:color w:val="000000" w:themeColor="text1"/>
          <w:sz w:val="28"/>
          <w:szCs w:val="28"/>
          <w:rtl/>
        </w:rPr>
        <w:lastRenderedPageBreak/>
        <w:t>ابو اسحاق شيرازی می</w:t>
      </w:r>
      <w:r>
        <w:rPr>
          <w:rFonts w:cs="2  Mitra" w:hint="cs"/>
          <w:color w:val="000000" w:themeColor="text1"/>
          <w:sz w:val="28"/>
          <w:szCs w:val="28"/>
          <w:rtl/>
        </w:rPr>
        <w:softHyphen/>
        <w:t>گويد</w:t>
      </w:r>
      <w:r>
        <w:rPr>
          <w:rFonts w:cs="Abz-2 (Badr)" w:hint="cs"/>
          <w:sz w:val="28"/>
          <w:szCs w:val="28"/>
          <w:rtl/>
        </w:rPr>
        <w:t xml:space="preserve">: </w:t>
      </w:r>
      <w:r>
        <w:rPr>
          <w:rFonts w:cs="2  Mitra" w:hint="cs"/>
          <w:color w:val="0070C0"/>
          <w:sz w:val="28"/>
          <w:szCs w:val="28"/>
          <w:rtl/>
        </w:rPr>
        <w:t>«</w:t>
      </w:r>
      <w:r>
        <w:rPr>
          <w:rFonts w:cs="Abz-2 (Badr)" w:hint="cs"/>
          <w:color w:val="0070C0"/>
          <w:sz w:val="28"/>
          <w:szCs w:val="28"/>
          <w:rtl/>
        </w:rPr>
        <w:t>التخصيص تمييز بعض الجملة بالحكم، ولهذا نقول: خصّ رسول الله(ص) بكذا وخصّ الغير بكذا. وأمّا تخصيص العموم فهو بيان ما لم يرد باللفظ العامّ.</w:t>
      </w:r>
      <w:r>
        <w:rPr>
          <w:rFonts w:cs="2  Mitra" w:hint="cs"/>
          <w:color w:val="0070C0"/>
          <w:sz w:val="28"/>
          <w:szCs w:val="28"/>
          <w:rtl/>
        </w:rPr>
        <w:t>»</w:t>
      </w:r>
      <w:r>
        <w:rPr>
          <w:rStyle w:val="FootnoteReference"/>
          <w:rFonts w:cs="Abz-2 (Badr)"/>
          <w:sz w:val="28"/>
          <w:szCs w:val="28"/>
          <w:rtl/>
        </w:rPr>
        <w:footnoteReference w:id="3"/>
      </w:r>
    </w:p>
    <w:p w14:paraId="715427B3" w14:textId="77777777" w:rsidR="007E4FCC" w:rsidRDefault="007E4FCC" w:rsidP="007E4FCC">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از اين عبارت بر می</w:t>
      </w:r>
      <w:r>
        <w:rPr>
          <w:rFonts w:cs="2  Mitra" w:hint="cs"/>
          <w:color w:val="000000" w:themeColor="text1"/>
          <w:sz w:val="28"/>
          <w:szCs w:val="28"/>
          <w:rtl/>
        </w:rPr>
        <w:softHyphen/>
        <w:t xml:space="preserve">آيد که تخصيص عموم، سبب اخراج موضوعی است و اين مطلب با توجه به اين که ابو اسحاق شيرازی شافعی است، قابل توجيه است. </w:t>
      </w:r>
      <w:bookmarkStart w:id="2" w:name="_Hlk214274583"/>
      <w:r>
        <w:rPr>
          <w:rFonts w:cs="2  Mitra" w:hint="cs"/>
          <w:color w:val="000000" w:themeColor="text1"/>
          <w:sz w:val="28"/>
          <w:szCs w:val="28"/>
          <w:rtl/>
        </w:rPr>
        <w:t>اما آنچه که در خصوص اختصاص حکمی بيان کرده است، ارتباطی به معنای اصطلاحی تخصیص ندارد، بلکه مربوط به معنای لغوی آن است</w:t>
      </w:r>
      <w:bookmarkEnd w:id="2"/>
      <w:r>
        <w:rPr>
          <w:rFonts w:cs="2  Mitra" w:hint="cs"/>
          <w:color w:val="000000" w:themeColor="text1"/>
          <w:sz w:val="28"/>
          <w:szCs w:val="28"/>
          <w:rtl/>
        </w:rPr>
        <w:t>.</w:t>
      </w:r>
    </w:p>
    <w:bookmarkEnd w:id="1"/>
    <w:p w14:paraId="4483E49B" w14:textId="77777777" w:rsidR="007E4FCC" w:rsidRDefault="007E4FCC" w:rsidP="007E4FCC">
      <w:pPr>
        <w:widowControl w:val="0"/>
        <w:bidi/>
        <w:spacing w:before="240"/>
        <w:ind w:firstLine="284"/>
        <w:jc w:val="both"/>
        <w:rPr>
          <w:rFonts w:cs="Abz-2 (Badr)" w:hint="cs"/>
          <w:sz w:val="28"/>
          <w:szCs w:val="28"/>
          <w:rtl/>
        </w:rPr>
      </w:pPr>
      <w:r>
        <w:rPr>
          <w:rFonts w:cs="2  Mitra" w:hint="cs"/>
          <w:color w:val="000000" w:themeColor="text1"/>
          <w:sz w:val="28"/>
          <w:szCs w:val="28"/>
          <w:rtl/>
        </w:rPr>
        <w:t>اما ابن فرّاء در تعريف تخصيص می</w:t>
      </w:r>
      <w:r>
        <w:rPr>
          <w:rFonts w:cs="2  Mitra" w:hint="cs"/>
          <w:color w:val="000000" w:themeColor="text1"/>
          <w:sz w:val="28"/>
          <w:szCs w:val="28"/>
          <w:rtl/>
        </w:rPr>
        <w:softHyphen/>
        <w:t xml:space="preserve">گويد: </w:t>
      </w:r>
      <w:r>
        <w:rPr>
          <w:rFonts w:cs="2  Mitra" w:hint="cs"/>
          <w:color w:val="0070C0"/>
          <w:sz w:val="28"/>
          <w:szCs w:val="28"/>
          <w:rtl/>
        </w:rPr>
        <w:t>«</w:t>
      </w:r>
      <w:r>
        <w:rPr>
          <w:rFonts w:cs="Abz-2 (Badr)" w:hint="cs"/>
          <w:color w:val="0070C0"/>
          <w:sz w:val="28"/>
          <w:szCs w:val="28"/>
          <w:rtl/>
        </w:rPr>
        <w:t>وأمّا التخصيص فهو تمييز بعض الجملة بحكم. وقيل: إخراج بعض ما تناوله العموم. وقيل: بيان المراد باللفظ العامّ.</w:t>
      </w:r>
      <w:r>
        <w:rPr>
          <w:rFonts w:cs="2  Mitra" w:hint="cs"/>
          <w:color w:val="0070C0"/>
          <w:sz w:val="28"/>
          <w:szCs w:val="28"/>
          <w:rtl/>
        </w:rPr>
        <w:t>»</w:t>
      </w:r>
      <w:bookmarkStart w:id="3" w:name="_Hlk213927072"/>
      <w:r>
        <w:rPr>
          <w:rStyle w:val="FootnoteReference"/>
          <w:rFonts w:cs="Abz-2 (Badr)"/>
          <w:sz w:val="28"/>
          <w:szCs w:val="28"/>
          <w:rtl/>
        </w:rPr>
        <w:footnoteReference w:id="4"/>
      </w:r>
      <w:bookmarkEnd w:id="3"/>
    </w:p>
    <w:p w14:paraId="12E5DB6A" w14:textId="77777777" w:rsidR="007E4FCC" w:rsidRDefault="007E4FCC" w:rsidP="007E4FCC">
      <w:pPr>
        <w:widowControl w:val="0"/>
        <w:bidi/>
        <w:spacing w:before="240" w:line="244" w:lineRule="auto"/>
        <w:ind w:firstLine="284"/>
        <w:jc w:val="both"/>
        <w:rPr>
          <w:rFonts w:cs="2  Mitra" w:hint="cs"/>
          <w:color w:val="000000" w:themeColor="text1"/>
          <w:sz w:val="28"/>
          <w:szCs w:val="28"/>
          <w:rtl/>
        </w:rPr>
      </w:pPr>
      <w:r>
        <w:rPr>
          <w:rFonts w:cs="2  Mitra" w:hint="cs"/>
          <w:color w:val="000000" w:themeColor="text1"/>
          <w:sz w:val="28"/>
          <w:szCs w:val="28"/>
          <w:rtl/>
        </w:rPr>
        <w:t>ظاهر اين عبارت اين است که وی در تعريف تخصيص، اخراج حکمی را پذيرفته است، هرچند گفته است که برخی آن را اخراج موضوعی دانسته</w:t>
      </w:r>
      <w:r>
        <w:rPr>
          <w:rFonts w:cs="2  Mitra" w:hint="cs"/>
          <w:color w:val="000000" w:themeColor="text1"/>
          <w:sz w:val="28"/>
          <w:szCs w:val="28"/>
          <w:rtl/>
        </w:rPr>
        <w:softHyphen/>
        <w:t>اند.</w:t>
      </w:r>
    </w:p>
    <w:p w14:paraId="171F2177" w14:textId="77777777" w:rsidR="007E4FCC" w:rsidRDefault="007E4FCC" w:rsidP="007E4FCC">
      <w:pPr>
        <w:widowControl w:val="0"/>
        <w:bidi/>
        <w:spacing w:after="0" w:line="244" w:lineRule="auto"/>
        <w:ind w:firstLine="284"/>
        <w:jc w:val="both"/>
        <w:rPr>
          <w:rFonts w:cs="Abz-2 (Badr)" w:hint="cs"/>
          <w:sz w:val="28"/>
          <w:szCs w:val="28"/>
          <w:rtl/>
        </w:rPr>
      </w:pPr>
      <w:bookmarkStart w:id="4" w:name="_Hlk213927160"/>
      <w:r>
        <w:rPr>
          <w:rFonts w:cs="2  Mitra" w:hint="cs"/>
          <w:color w:val="000000" w:themeColor="text1"/>
          <w:sz w:val="28"/>
          <w:szCs w:val="28"/>
          <w:rtl/>
        </w:rPr>
        <w:t>مرحوم سيّد مرتضی نيز در تعريف تخصيص می</w:t>
      </w:r>
      <w:r>
        <w:rPr>
          <w:rFonts w:cs="2  Mitra" w:hint="cs"/>
          <w:color w:val="000000" w:themeColor="text1"/>
          <w:sz w:val="28"/>
          <w:szCs w:val="28"/>
          <w:rtl/>
        </w:rPr>
        <w:softHyphen/>
        <w:t xml:space="preserve">فرمايد: </w:t>
      </w:r>
      <w:r>
        <w:rPr>
          <w:rFonts w:cs="2  Mitra" w:hint="cs"/>
          <w:color w:val="0070C0"/>
          <w:sz w:val="28"/>
          <w:szCs w:val="28"/>
          <w:rtl/>
        </w:rPr>
        <w:t>«</w:t>
      </w:r>
      <w:r>
        <w:rPr>
          <w:rFonts w:cs="Abz-2 (Badr)" w:hint="cs"/>
          <w:color w:val="0070C0"/>
          <w:sz w:val="28"/>
          <w:szCs w:val="28"/>
          <w:rtl/>
          <w:lang w:bidi="fa-IR"/>
        </w:rPr>
        <w:t>حدّ التّخصيص هو... أنّ المخاطب بالكلمة أراد بعض ما تصلح‏ له دون بعض‏.</w:t>
      </w:r>
      <w:r>
        <w:rPr>
          <w:rFonts w:cs="2  Mitra" w:hint="cs"/>
          <w:color w:val="0070C0"/>
          <w:sz w:val="28"/>
          <w:szCs w:val="28"/>
          <w:rtl/>
        </w:rPr>
        <w:t>»</w:t>
      </w:r>
      <w:r>
        <w:rPr>
          <w:rStyle w:val="FootnoteReference"/>
          <w:rFonts w:cs="Abz-2 (Badr)"/>
          <w:sz w:val="28"/>
          <w:szCs w:val="28"/>
          <w:rtl/>
        </w:rPr>
        <w:footnoteReference w:id="5"/>
      </w:r>
    </w:p>
    <w:p w14:paraId="20538F4D" w14:textId="77777777" w:rsidR="007E4FCC" w:rsidRDefault="007E4FCC" w:rsidP="007E4FCC">
      <w:pPr>
        <w:widowControl w:val="0"/>
        <w:bidi/>
        <w:spacing w:before="240" w:line="244" w:lineRule="auto"/>
        <w:ind w:firstLine="284"/>
        <w:jc w:val="both"/>
        <w:rPr>
          <w:rFonts w:cs="2  Mitra"/>
          <w:color w:val="000000" w:themeColor="text1"/>
          <w:sz w:val="28"/>
          <w:szCs w:val="28"/>
        </w:rPr>
      </w:pPr>
      <w:r>
        <w:rPr>
          <w:rFonts w:cs="2  Mitra" w:hint="cs"/>
          <w:color w:val="000000" w:themeColor="text1"/>
          <w:sz w:val="28"/>
          <w:szCs w:val="28"/>
          <w:rtl/>
        </w:rPr>
        <w:t>بر اساس اين عبارت نيز تخصيص چيزی است که سبب اخراج موضوعی برخی افراد از تحت عام می</w:t>
      </w:r>
      <w:r>
        <w:rPr>
          <w:rFonts w:cs="2  Mitra" w:hint="cs"/>
          <w:color w:val="000000" w:themeColor="text1"/>
          <w:sz w:val="28"/>
          <w:szCs w:val="28"/>
          <w:rtl/>
        </w:rPr>
        <w:softHyphen/>
        <w:t>شود.</w:t>
      </w:r>
    </w:p>
    <w:p w14:paraId="40AD31DF" w14:textId="77777777" w:rsidR="007E4FCC" w:rsidRDefault="007E4FCC" w:rsidP="007E4FCC">
      <w:pPr>
        <w:widowControl w:val="0"/>
        <w:bidi/>
        <w:spacing w:before="240" w:line="244" w:lineRule="auto"/>
        <w:ind w:firstLine="284"/>
        <w:jc w:val="both"/>
        <w:rPr>
          <w:rFonts w:cs="Abz-2 (Badr)" w:hint="cs"/>
          <w:color w:val="0070C0"/>
          <w:sz w:val="28"/>
          <w:szCs w:val="28"/>
          <w:rtl/>
          <w:lang w:bidi="fa-IR"/>
        </w:rPr>
      </w:pPr>
      <w:r>
        <w:rPr>
          <w:rFonts w:cs="2  Mitra" w:hint="cs"/>
          <w:color w:val="000000" w:themeColor="text1"/>
          <w:sz w:val="28"/>
          <w:szCs w:val="28"/>
          <w:rtl/>
        </w:rPr>
        <w:t>ظاهر تعريف مرحوم ميرزای قمی نيز همين مطلب است؛ زيرا فرموده</w:t>
      </w:r>
      <w:r>
        <w:rPr>
          <w:rFonts w:cs="2  Mitra" w:hint="cs"/>
          <w:color w:val="000000" w:themeColor="text1"/>
          <w:sz w:val="28"/>
          <w:szCs w:val="28"/>
          <w:rtl/>
        </w:rPr>
        <w:softHyphen/>
        <w:t xml:space="preserve">اند: </w:t>
      </w:r>
      <w:r>
        <w:rPr>
          <w:rFonts w:cs="2  Mitra" w:hint="cs"/>
          <w:color w:val="0070C0"/>
          <w:sz w:val="28"/>
          <w:szCs w:val="28"/>
          <w:rtl/>
        </w:rPr>
        <w:t>«</w:t>
      </w:r>
      <w:r>
        <w:rPr>
          <w:rFonts w:cs="Abz-2 (Badr)" w:hint="cs"/>
          <w:color w:val="0070C0"/>
          <w:sz w:val="28"/>
          <w:szCs w:val="28"/>
          <w:rtl/>
          <w:lang w:bidi="fa-IR"/>
        </w:rPr>
        <w:t>هو قصر العامّ على بعض ما يتناوله، وقد يطلق على قصر ما ليس بعامّ حقيقة كذلك كالجمع المعهود، و من ذلك تخصيص مثل: عشرة و الرغيف بالنسبة الى أجزائهما.</w:t>
      </w:r>
    </w:p>
    <w:p w14:paraId="4F5F1AFE" w14:textId="77777777" w:rsidR="007E4FCC" w:rsidRDefault="007E4FCC" w:rsidP="007E4FCC">
      <w:pPr>
        <w:widowControl w:val="0"/>
        <w:bidi/>
        <w:spacing w:before="240" w:line="244" w:lineRule="auto"/>
        <w:ind w:firstLine="284"/>
        <w:jc w:val="both"/>
        <w:rPr>
          <w:rFonts w:cs="Abz-2 (Badr)" w:hint="cs"/>
          <w:color w:val="0070C0"/>
          <w:sz w:val="28"/>
          <w:szCs w:val="28"/>
          <w:rtl/>
          <w:lang w:bidi="fa-IR"/>
        </w:rPr>
      </w:pPr>
      <w:r>
        <w:rPr>
          <w:rFonts w:cs="Abz-2 (Badr)" w:hint="cs"/>
          <w:color w:val="0070C0"/>
          <w:sz w:val="28"/>
          <w:szCs w:val="28"/>
          <w:rtl/>
          <w:lang w:bidi="fa-IR"/>
        </w:rPr>
        <w:t>والتخصيص قد يكون بالمتّصل، وهو ما لا يستقلّ بنفسه بل يحتاج الى انضمامه إلى غيره، كالاستثناء المتّصل، والشرط، والغاية، والصفة، وبدل البعض.</w:t>
      </w:r>
    </w:p>
    <w:p w14:paraId="0E9B5A18" w14:textId="77777777" w:rsidR="007E4FCC" w:rsidRDefault="007E4FCC" w:rsidP="007E4FCC">
      <w:pPr>
        <w:widowControl w:val="0"/>
        <w:bidi/>
        <w:spacing w:before="240" w:line="244" w:lineRule="auto"/>
        <w:ind w:firstLine="284"/>
        <w:jc w:val="both"/>
        <w:rPr>
          <w:rFonts w:cs="Abz-2 (Badr)" w:hint="cs"/>
          <w:sz w:val="28"/>
          <w:szCs w:val="28"/>
          <w:rtl/>
        </w:rPr>
      </w:pPr>
      <w:r>
        <w:rPr>
          <w:rFonts w:cs="Abz-2 (Badr)" w:hint="cs"/>
          <w:color w:val="0070C0"/>
          <w:sz w:val="28"/>
          <w:szCs w:val="28"/>
          <w:rtl/>
          <w:lang w:bidi="fa-IR"/>
        </w:rPr>
        <w:lastRenderedPageBreak/>
        <w:t>وبالمنفصل، وهو ما يستقلّ بنفسه‏.</w:t>
      </w:r>
      <w:r>
        <w:rPr>
          <w:rFonts w:cs="2  Mitra" w:hint="cs"/>
          <w:color w:val="0070C0"/>
          <w:sz w:val="28"/>
          <w:szCs w:val="28"/>
          <w:rtl/>
        </w:rPr>
        <w:t>»</w:t>
      </w:r>
      <w:r>
        <w:rPr>
          <w:rStyle w:val="FootnoteReference"/>
          <w:rFonts w:cs="Abz-2 (Badr)"/>
          <w:sz w:val="28"/>
          <w:szCs w:val="28"/>
          <w:rtl/>
        </w:rPr>
        <w:footnoteReference w:id="6"/>
      </w:r>
    </w:p>
    <w:p w14:paraId="78DBF9B2" w14:textId="77777777" w:rsidR="007E4FCC" w:rsidRDefault="007E4FCC" w:rsidP="007E4FCC">
      <w:pPr>
        <w:widowControl w:val="0"/>
        <w:bidi/>
        <w:spacing w:before="240" w:line="244" w:lineRule="auto"/>
        <w:ind w:firstLine="284"/>
        <w:jc w:val="both"/>
        <w:rPr>
          <w:rFonts w:cs="Abz-2 (Badr)" w:hint="cs"/>
          <w:sz w:val="28"/>
          <w:szCs w:val="28"/>
          <w:rtl/>
          <w:lang w:bidi="fa-IR"/>
        </w:rPr>
      </w:pPr>
      <w:r>
        <w:rPr>
          <w:rFonts w:cs="2  Mitra" w:hint="cs"/>
          <w:color w:val="000000" w:themeColor="text1"/>
          <w:sz w:val="28"/>
          <w:szCs w:val="28"/>
          <w:rtl/>
        </w:rPr>
        <w:t>اما مرحوم صاحب فصول تصريح کرده است که تخصيص هم شامل اخراج موضوعی است و هم شامل اخراج حکمی و می</w:t>
      </w:r>
      <w:r>
        <w:rPr>
          <w:rFonts w:cs="2  Mitra" w:hint="cs"/>
          <w:color w:val="000000" w:themeColor="text1"/>
          <w:sz w:val="28"/>
          <w:szCs w:val="28"/>
          <w:cs/>
          <w:lang w:bidi="fa-IR"/>
        </w:rPr>
        <w:t>‎</w:t>
      </w:r>
      <w:r>
        <w:rPr>
          <w:rFonts w:cs="2  Mitra" w:hint="cs"/>
          <w:color w:val="000000" w:themeColor="text1"/>
          <w:sz w:val="28"/>
          <w:szCs w:val="28"/>
          <w:rtl/>
        </w:rPr>
        <w:t xml:space="preserve">فرمايد: </w:t>
      </w:r>
      <w:r>
        <w:rPr>
          <w:rFonts w:cs="2  Mitra" w:hint="cs"/>
          <w:color w:val="0070C0"/>
          <w:sz w:val="28"/>
          <w:szCs w:val="28"/>
          <w:rtl/>
        </w:rPr>
        <w:t>«</w:t>
      </w:r>
      <w:r>
        <w:rPr>
          <w:rFonts w:cs="Abz-2 (Badr)" w:hint="cs"/>
          <w:color w:val="0070C0"/>
          <w:sz w:val="28"/>
          <w:szCs w:val="28"/>
          <w:rtl/>
          <w:lang w:bidi="fa-IR"/>
        </w:rPr>
        <w:t>التخصيص قصر العامّ أو حكمه على بعض ما يتناوله.</w:t>
      </w:r>
      <w:r>
        <w:rPr>
          <w:rFonts w:cs="2  Mitra" w:hint="cs"/>
          <w:color w:val="0070C0"/>
          <w:sz w:val="28"/>
          <w:szCs w:val="28"/>
          <w:rtl/>
        </w:rPr>
        <w:t>»</w:t>
      </w:r>
      <w:r>
        <w:rPr>
          <w:rFonts w:cs="Abz-2 (Badr)" w:hint="cs"/>
          <w:sz w:val="28"/>
          <w:szCs w:val="28"/>
          <w:rtl/>
          <w:lang w:bidi="fa-IR"/>
        </w:rPr>
        <w:t>‏</w:t>
      </w:r>
      <w:r>
        <w:rPr>
          <w:rStyle w:val="FootnoteReference"/>
          <w:rFonts w:cs="Abz-2 (Badr)"/>
          <w:sz w:val="28"/>
          <w:szCs w:val="28"/>
          <w:rtl/>
        </w:rPr>
        <w:footnoteReference w:id="7"/>
      </w:r>
    </w:p>
    <w:bookmarkEnd w:id="4"/>
    <w:p w14:paraId="2A071D99" w14:textId="77777777" w:rsidR="007E4FCC" w:rsidRDefault="007E4FCC" w:rsidP="007E4FCC">
      <w:pPr>
        <w:widowControl w:val="0"/>
        <w:bidi/>
        <w:spacing w:before="240" w:line="244" w:lineRule="auto"/>
        <w:ind w:firstLine="284"/>
        <w:jc w:val="both"/>
        <w:rPr>
          <w:rFonts w:cs="2  Mitra"/>
          <w:color w:val="000000" w:themeColor="text1"/>
          <w:sz w:val="28"/>
          <w:szCs w:val="28"/>
        </w:rPr>
      </w:pPr>
      <w:r>
        <w:rPr>
          <w:rFonts w:cs="2  Mitra" w:hint="cs"/>
          <w:color w:val="000000" w:themeColor="text1"/>
          <w:sz w:val="28"/>
          <w:szCs w:val="28"/>
          <w:rtl/>
        </w:rPr>
        <w:t>ولی مطالبی که در خصوص شمول تخصيص بر اخراج موضوعی خاص از تحت افراد عام بيان شده است، قابل التزام نيست، بلکه مراد از «تخصیص»، خارج کردن حکمی یک فرد از افراد موضوع است، نه خارج کردن موضوعی آن؛ به این معنا که گفته شود موضوع حکم اساساً شامل آن فرد نمی‌شود.</w:t>
      </w:r>
    </w:p>
    <w:p w14:paraId="6E073AD7" w14:textId="77777777" w:rsidR="007E4FCC" w:rsidRDefault="007E4FCC" w:rsidP="007E4FCC">
      <w:pPr>
        <w:widowControl w:val="0"/>
        <w:bidi/>
        <w:spacing w:before="240" w:line="244" w:lineRule="auto"/>
        <w:ind w:firstLine="284"/>
        <w:jc w:val="both"/>
        <w:rPr>
          <w:rFonts w:cs="2  Mitra" w:hint="cs"/>
          <w:color w:val="000000" w:themeColor="text1"/>
          <w:sz w:val="28"/>
          <w:szCs w:val="28"/>
          <w:rtl/>
        </w:rPr>
      </w:pPr>
      <w:r>
        <w:rPr>
          <w:rFonts w:cs="2  Mitra" w:hint="cs"/>
          <w:color w:val="000000" w:themeColor="text1"/>
          <w:sz w:val="28"/>
          <w:szCs w:val="28"/>
          <w:rtl/>
        </w:rPr>
        <w:t xml:space="preserve">به بیان دیگر: تخصیص در جایی تحقق می‌یابد که با وجود شمول موضوع حکم در دليل عام بر فردی از افراد عام، خود حکم بر آن فرد مترتب نگردد </w:t>
      </w:r>
      <w:r>
        <w:rPr>
          <w:rFonts w:cs="2  Mitra" w:hint="cs"/>
          <w:color w:val="000000" w:themeColor="text1"/>
          <w:sz w:val="28"/>
          <w:szCs w:val="28"/>
          <w:rtl/>
          <w:lang w:bidi="fa-IR"/>
        </w:rPr>
        <w:t>و به عبارت ديگر آن فرد حکماً از تحت شمول دليل عام خارج گردد.</w:t>
      </w:r>
      <w:r>
        <w:rPr>
          <w:rFonts w:cs="2  Mitra" w:hint="cs"/>
          <w:color w:val="000000" w:themeColor="text1"/>
          <w:sz w:val="28"/>
          <w:szCs w:val="28"/>
          <w:rtl/>
        </w:rPr>
        <w:t xml:space="preserve"> اما در جايی که موضوع حکم شامل فردی نباشد، اين امر در حقیقت «تخصص» است نه «تخصیص». همان گونه که مقيّد ساختن حکم به قيود در خود دليل، تخصيص محسوب نمی</w:t>
      </w:r>
      <w:r>
        <w:rPr>
          <w:rFonts w:cs="2  Mitra" w:hint="cs"/>
          <w:color w:val="000000" w:themeColor="text1"/>
          <w:sz w:val="28"/>
          <w:szCs w:val="28"/>
          <w:rtl/>
        </w:rPr>
        <w:softHyphen/>
        <w:t>شود.</w:t>
      </w:r>
    </w:p>
    <w:p w14:paraId="26693627" w14:textId="77777777" w:rsidR="007E4FCC" w:rsidRDefault="007E4FCC" w:rsidP="007E4FCC">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در نتيجه مواردی را که در آن موضوع مقيّد به قيدی شده است ـ مثل وصف ـ نمی</w:t>
      </w:r>
      <w:r>
        <w:rPr>
          <w:rFonts w:cs="2  Mitra" w:hint="cs"/>
          <w:color w:val="000000" w:themeColor="text1"/>
          <w:sz w:val="28"/>
          <w:szCs w:val="28"/>
          <w:rtl/>
        </w:rPr>
        <w:softHyphen/>
        <w:t>توان از اقسام تخصيص محسوب کرد.</w:t>
      </w:r>
    </w:p>
    <w:p w14:paraId="2D4F4D50" w14:textId="77777777" w:rsidR="007E4FCC" w:rsidRDefault="007E4FCC" w:rsidP="007E4FCC">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همچنين مواردی را که حکم مذکور در قضيه به واسطه ذکر قيدی ـ مثل شرط يا غايت ـ مقيّد شده است، نمی</w:t>
      </w:r>
      <w:r>
        <w:rPr>
          <w:rFonts w:cs="2  Mitra" w:hint="cs"/>
          <w:color w:val="000000" w:themeColor="text1"/>
          <w:sz w:val="28"/>
          <w:szCs w:val="28"/>
          <w:rtl/>
        </w:rPr>
        <w:softHyphen/>
        <w:t>توان از اقسام تخصيص محسوب نمود، زيرا اين مطلب سبب اخراج حکمی افرادی از تحت شمول دليل عام نمی</w:t>
      </w:r>
      <w:r>
        <w:rPr>
          <w:rFonts w:cs="2  Mitra" w:hint="cs"/>
          <w:color w:val="000000" w:themeColor="text1"/>
          <w:sz w:val="28"/>
          <w:szCs w:val="28"/>
          <w:rtl/>
        </w:rPr>
        <w:softHyphen/>
        <w:t>شود، بلکه سبب رفع اطلاق حکم است.</w:t>
      </w:r>
    </w:p>
    <w:p w14:paraId="5655B30E" w14:textId="77777777" w:rsidR="007E4FCC" w:rsidRDefault="007E4FCC" w:rsidP="007E4FCC">
      <w:pPr>
        <w:rPr>
          <w:rFonts w:cs="2  Mitra" w:hint="cs"/>
          <w:color w:val="000000" w:themeColor="text1"/>
          <w:sz w:val="28"/>
          <w:szCs w:val="28"/>
          <w:rtl/>
        </w:rPr>
      </w:pPr>
      <w:r>
        <w:rPr>
          <w:rFonts w:cs="2  Mitra" w:hint="cs"/>
          <w:color w:val="000000" w:themeColor="text1"/>
          <w:sz w:val="28"/>
          <w:szCs w:val="28"/>
          <w:rtl/>
        </w:rPr>
        <w:br w:type="page"/>
      </w:r>
    </w:p>
    <w:p w14:paraId="30C2F462"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lastRenderedPageBreak/>
        <w:t>قد ذكرت للتخصيص تعاريف لا يسلم أكثرها من المناقشة والإشكال.</w:t>
      </w:r>
    </w:p>
    <w:p w14:paraId="42261457" w14:textId="77777777" w:rsidR="007E4FCC" w:rsidRDefault="007E4FCC" w:rsidP="007E4FCC">
      <w:pPr>
        <w:widowControl w:val="0"/>
        <w:bidi/>
        <w:spacing w:after="0"/>
        <w:ind w:firstLine="289"/>
        <w:jc w:val="both"/>
        <w:rPr>
          <w:rFonts w:cs="Abz-2 (Badr)" w:hint="cs"/>
          <w:color w:val="0070C0"/>
          <w:sz w:val="28"/>
          <w:szCs w:val="28"/>
          <w:rtl/>
        </w:rPr>
      </w:pPr>
      <w:r>
        <w:rPr>
          <w:rFonts w:cs="Abz-2 (Badr)" w:hint="cs"/>
          <w:sz w:val="28"/>
          <w:szCs w:val="28"/>
          <w:rtl/>
        </w:rPr>
        <w:t xml:space="preserve">قال عضدالدين الإيجي في شرحه: </w:t>
      </w:r>
      <w:r>
        <w:rPr>
          <w:rFonts w:cs="Abz-2 (Badr)" w:hint="cs"/>
          <w:color w:val="0070C0"/>
          <w:sz w:val="28"/>
          <w:szCs w:val="28"/>
          <w:rtl/>
        </w:rPr>
        <w:t>«التخصيص في الإصطلاح قصر العامّ علی بعض مسمّياته ويتناول ما أُريد به جميع المسمّيات أوّلاً ثمّ أُخرج بعض كما في الاستثناء ولم يرد إلّا بعض مسمّياته ابتداءً كما في غيره.</w:t>
      </w:r>
    </w:p>
    <w:p w14:paraId="49E7250C" w14:textId="77777777" w:rsidR="007E4FCC" w:rsidRDefault="007E4FCC" w:rsidP="007E4FCC">
      <w:pPr>
        <w:widowControl w:val="0"/>
        <w:bidi/>
        <w:spacing w:after="0"/>
        <w:ind w:firstLine="289"/>
        <w:jc w:val="both"/>
        <w:rPr>
          <w:rFonts w:cs="Abz-2 (Badr)" w:hint="cs"/>
          <w:color w:val="0070C0"/>
          <w:sz w:val="28"/>
          <w:szCs w:val="28"/>
          <w:rtl/>
        </w:rPr>
      </w:pPr>
      <w:r>
        <w:rPr>
          <w:rFonts w:cs="Abz-2 (Badr)" w:hint="cs"/>
          <w:color w:val="0070C0"/>
          <w:sz w:val="28"/>
          <w:szCs w:val="28"/>
          <w:rtl/>
        </w:rPr>
        <w:t>وقال أبو الحسين: هو إخراج بعض ما يتناوله الخطاب عنه.</w:t>
      </w:r>
    </w:p>
    <w:p w14:paraId="43851639" w14:textId="77777777" w:rsidR="007E4FCC" w:rsidRDefault="007E4FCC" w:rsidP="007E4FCC">
      <w:pPr>
        <w:widowControl w:val="0"/>
        <w:bidi/>
        <w:spacing w:after="0"/>
        <w:ind w:firstLine="289"/>
        <w:jc w:val="both"/>
        <w:rPr>
          <w:rFonts w:cs="Abz-2 (Badr)" w:hint="cs"/>
          <w:color w:val="0070C0"/>
          <w:sz w:val="28"/>
          <w:szCs w:val="28"/>
          <w:rtl/>
        </w:rPr>
      </w:pPr>
      <w:r>
        <w:rPr>
          <w:rFonts w:cs="Abz-2 (Badr)" w:hint="cs"/>
          <w:color w:val="0070C0"/>
          <w:sz w:val="28"/>
          <w:szCs w:val="28"/>
          <w:rtl/>
        </w:rPr>
        <w:t>وأُورد عليه أنّ ما أُخرج فالخطاب لم يتناوله.</w:t>
      </w:r>
    </w:p>
    <w:p w14:paraId="63B272E1" w14:textId="77777777" w:rsidR="007E4FCC" w:rsidRDefault="007E4FCC" w:rsidP="007E4FCC">
      <w:pPr>
        <w:widowControl w:val="0"/>
        <w:bidi/>
        <w:spacing w:after="0"/>
        <w:ind w:firstLine="289"/>
        <w:jc w:val="both"/>
        <w:rPr>
          <w:rFonts w:cs="Abz-2 (Badr)" w:hint="cs"/>
          <w:color w:val="0070C0"/>
          <w:sz w:val="28"/>
          <w:szCs w:val="28"/>
          <w:rtl/>
          <w:lang w:bidi="fa-IR"/>
        </w:rPr>
      </w:pPr>
      <w:r>
        <w:rPr>
          <w:rFonts w:cs="Abz-2 (Badr)" w:hint="cs"/>
          <w:color w:val="0070C0"/>
          <w:sz w:val="28"/>
          <w:szCs w:val="28"/>
          <w:rtl/>
        </w:rPr>
        <w:t>فأجاب بأنّ المراد ما يتناوله الخطاب بتقدير عدم المخصّص؛ كقولهم: «خصّص العامّ» و«هذا عامّ مخصّص»، ولا شكّ أنّ المخصّص ليس بعامّ، لكنّ المراد به كونه عامّاً لولا تخصيصه...</w:t>
      </w:r>
    </w:p>
    <w:p w14:paraId="4FEE0A56" w14:textId="77777777" w:rsidR="007E4FCC" w:rsidRDefault="007E4FCC" w:rsidP="007E4FCC">
      <w:pPr>
        <w:widowControl w:val="0"/>
        <w:bidi/>
        <w:spacing w:after="0"/>
        <w:ind w:firstLine="289"/>
        <w:jc w:val="both"/>
        <w:rPr>
          <w:rFonts w:cs="Abz-2 (Badr)" w:hint="cs"/>
          <w:sz w:val="28"/>
          <w:szCs w:val="28"/>
          <w:rtl/>
        </w:rPr>
      </w:pPr>
      <w:r>
        <w:rPr>
          <w:rFonts w:cs="Abz-2 (Badr)" w:hint="cs"/>
          <w:color w:val="0070C0"/>
          <w:sz w:val="28"/>
          <w:szCs w:val="28"/>
          <w:rtl/>
        </w:rPr>
        <w:t>التخصيص كما يطلق على قصر العامّ على بعض مسمّياته، فقد يطلق على قصر اللفظ على بعض مسمّياته وإن لم يكن عامّاً؛ وذلك كما يطلق على اللفظ كونه عامّاً لتعدّد مسمّياته، مثاله: «عشرة»، يقال له عامّ باعتبار آحاده، فإذا قصر على خمسة بالاستثناء عنه قيل: قد خصّص...»</w:t>
      </w:r>
      <w:r>
        <w:rPr>
          <w:rStyle w:val="FootnoteReference"/>
          <w:rFonts w:cs="Abz-2 (Badr)"/>
          <w:sz w:val="28"/>
          <w:szCs w:val="28"/>
          <w:rtl/>
        </w:rPr>
        <w:footnoteReference w:id="8"/>
      </w:r>
    </w:p>
    <w:p w14:paraId="7A0F74F5"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وظاهر هذا التعريف أنّه يری التخصيص بمعنى إخراج فرد من أفراد موضوع الحكم أو جزء منه من تحت ذلك الموضوع.</w:t>
      </w:r>
    </w:p>
    <w:p w14:paraId="3E06D48A"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 xml:space="preserve">وقال أبو إسحاق الشيرازي: </w:t>
      </w:r>
      <w:r>
        <w:rPr>
          <w:rFonts w:cs="Abz-2 (Badr)" w:hint="cs"/>
          <w:color w:val="0070C0"/>
          <w:sz w:val="28"/>
          <w:szCs w:val="28"/>
          <w:rtl/>
        </w:rPr>
        <w:t>«التخصيص تمييز بعض الجملة بالحكم، ولهذا نقول: خصّ رسول الله(ص) بكذا وخصّ الغير بكذا. وأمّا تخصيص العموم فهو بيان ما لم يرد باللفظ العامّ.»</w:t>
      </w:r>
      <w:r>
        <w:rPr>
          <w:rFonts w:cs="Abz-2 (Badr)"/>
          <w:sz w:val="28"/>
          <w:szCs w:val="28"/>
          <w:vertAlign w:val="superscript"/>
          <w:rtl/>
        </w:rPr>
        <w:footnoteReference w:id="9"/>
      </w:r>
    </w:p>
    <w:p w14:paraId="27147D96"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ويستفاد من هذه العبارة أيضاً أنّ تخصيص العامّ موجب للإخراج الموضوعي. وأمّا ما ذكره بشأن اختصاص الحكم، فلا ارتباط له بالمعنى الاصطلاحي للتخصيص، بل مرجعه إلى معناه اللغوي.</w:t>
      </w:r>
    </w:p>
    <w:p w14:paraId="5822B9F5"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 xml:space="preserve">ولكن قال القاضي ابن الفرّاء: </w:t>
      </w:r>
      <w:r>
        <w:rPr>
          <w:rFonts w:cs="Abz-2 (Badr)" w:hint="cs"/>
          <w:color w:val="0070C0"/>
          <w:sz w:val="28"/>
          <w:szCs w:val="28"/>
          <w:rtl/>
        </w:rPr>
        <w:t>«وأمّا التخصيص فهو تمييز بعض الجملة بحكم. وقيل: إخراج بعض ما تناوله العموم. وقيل: بيان المراد باللفظ العامّ.»</w:t>
      </w:r>
      <w:r>
        <w:rPr>
          <w:rFonts w:cs="Abz-2 (Badr)"/>
          <w:sz w:val="28"/>
          <w:szCs w:val="28"/>
          <w:vertAlign w:val="superscript"/>
          <w:rtl/>
        </w:rPr>
        <w:footnoteReference w:id="10"/>
      </w:r>
    </w:p>
    <w:p w14:paraId="4744DD5F"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وظاهر هذه العبارة أنّه قد التزم في تعريف التخصيص بالإخراج الحكمي، وإن ذكر أنّ بعضهم يرى أنّه إخراج موضوعي.</w:t>
      </w:r>
    </w:p>
    <w:p w14:paraId="37ED5888"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 xml:space="preserve">وقال السيّد المرتضی في تعريف التخصيص: </w:t>
      </w:r>
      <w:r>
        <w:rPr>
          <w:rFonts w:cs="Abz-2 (Badr)" w:hint="cs"/>
          <w:color w:val="0070C0"/>
          <w:sz w:val="28"/>
          <w:szCs w:val="28"/>
          <w:rtl/>
        </w:rPr>
        <w:t xml:space="preserve">«حدّ التّخصيص هو... أنّ المخاطب بالكلمة أراد بعض ما تصلح‏ له دون </w:t>
      </w:r>
      <w:r>
        <w:rPr>
          <w:rFonts w:cs="Abz-2 (Badr)" w:hint="cs"/>
          <w:color w:val="0070C0"/>
          <w:sz w:val="28"/>
          <w:szCs w:val="28"/>
          <w:rtl/>
        </w:rPr>
        <w:lastRenderedPageBreak/>
        <w:t>بعض‏.»</w:t>
      </w:r>
      <w:r>
        <w:rPr>
          <w:rFonts w:cs="Abz-2 (Badr)"/>
          <w:sz w:val="28"/>
          <w:szCs w:val="28"/>
          <w:vertAlign w:val="superscript"/>
          <w:rtl/>
        </w:rPr>
        <w:footnoteReference w:id="11"/>
      </w:r>
    </w:p>
    <w:p w14:paraId="276A3D23" w14:textId="77777777" w:rsidR="007E4FCC" w:rsidRDefault="007E4FCC" w:rsidP="007E4FCC">
      <w:pPr>
        <w:widowControl w:val="0"/>
        <w:bidi/>
        <w:spacing w:after="0"/>
        <w:ind w:firstLine="289"/>
        <w:jc w:val="both"/>
        <w:rPr>
          <w:rFonts w:cs="Abz-2 (Badr)"/>
          <w:sz w:val="28"/>
          <w:szCs w:val="28"/>
        </w:rPr>
      </w:pPr>
      <w:r>
        <w:rPr>
          <w:rFonts w:cs="Abz-2 (Badr)" w:hint="cs"/>
          <w:sz w:val="28"/>
          <w:szCs w:val="28"/>
          <w:rtl/>
        </w:rPr>
        <w:t>وبناءً على هذه العبارة أيضاً فالتخصيص هو ما يستلزم إخراجاً موضوعيّاً لبعض الأفراد من تحت العامّ.</w:t>
      </w:r>
    </w:p>
    <w:p w14:paraId="31B8387D" w14:textId="77777777" w:rsidR="007E4FCC" w:rsidRDefault="007E4FCC" w:rsidP="007E4FCC">
      <w:pPr>
        <w:widowControl w:val="0"/>
        <w:bidi/>
        <w:spacing w:after="0"/>
        <w:ind w:firstLine="289"/>
        <w:jc w:val="both"/>
        <w:rPr>
          <w:rFonts w:cs="Abz-2 (Badr)" w:hint="cs"/>
          <w:color w:val="0070C0"/>
          <w:sz w:val="28"/>
          <w:szCs w:val="28"/>
          <w:rtl/>
        </w:rPr>
      </w:pPr>
      <w:r>
        <w:rPr>
          <w:rFonts w:cs="Abz-2 (Badr)" w:hint="cs"/>
          <w:sz w:val="28"/>
          <w:szCs w:val="28"/>
          <w:rtl/>
        </w:rPr>
        <w:t xml:space="preserve">وهو ظاهر تعريف المحقّق القمّي أيضاً حيث قال: </w:t>
      </w:r>
      <w:r>
        <w:rPr>
          <w:rFonts w:cs="Abz-2 (Badr)" w:hint="cs"/>
          <w:color w:val="0070C0"/>
          <w:sz w:val="28"/>
          <w:szCs w:val="28"/>
          <w:rtl/>
        </w:rPr>
        <w:t>«هو قصر العامّ على بعض ما يتناوله، وقد يطلق على قصر ما ليس بعامّ حقيقة كذلك كالجمع المعهود، ومن ذلك تخصيص مثل: عشرة والرغيف بالنسبة الى أجزائهما.</w:t>
      </w:r>
    </w:p>
    <w:p w14:paraId="035BE5E9" w14:textId="77777777" w:rsidR="007E4FCC" w:rsidRDefault="007E4FCC" w:rsidP="007E4FCC">
      <w:pPr>
        <w:widowControl w:val="0"/>
        <w:bidi/>
        <w:spacing w:after="0"/>
        <w:ind w:firstLine="289"/>
        <w:jc w:val="both"/>
        <w:rPr>
          <w:rFonts w:cs="Abz-2 (Badr)" w:hint="cs"/>
          <w:color w:val="0070C0"/>
          <w:sz w:val="28"/>
          <w:szCs w:val="28"/>
          <w:rtl/>
        </w:rPr>
      </w:pPr>
      <w:r>
        <w:rPr>
          <w:rFonts w:cs="Abz-2 (Badr)" w:hint="cs"/>
          <w:color w:val="0070C0"/>
          <w:sz w:val="28"/>
          <w:szCs w:val="28"/>
          <w:rtl/>
        </w:rPr>
        <w:t>والتخصيص قد يكون بالمتّصل، وهو ما لا يستقلّ بنفسه بل يحتاج الى انضمامه إلى غيره، كالاستثناء المتّصل، والشرط، والغاية، والصفة، وبدل البعض.</w:t>
      </w:r>
    </w:p>
    <w:p w14:paraId="778FCE98" w14:textId="77777777" w:rsidR="007E4FCC" w:rsidRDefault="007E4FCC" w:rsidP="007E4FCC">
      <w:pPr>
        <w:widowControl w:val="0"/>
        <w:bidi/>
        <w:spacing w:after="0"/>
        <w:ind w:firstLine="289"/>
        <w:jc w:val="both"/>
        <w:rPr>
          <w:rFonts w:cs="Abz-2 (Badr)" w:hint="cs"/>
          <w:sz w:val="28"/>
          <w:szCs w:val="28"/>
          <w:rtl/>
        </w:rPr>
      </w:pPr>
      <w:r>
        <w:rPr>
          <w:rFonts w:cs="Abz-2 (Badr)" w:hint="cs"/>
          <w:color w:val="0070C0"/>
          <w:sz w:val="28"/>
          <w:szCs w:val="28"/>
          <w:rtl/>
        </w:rPr>
        <w:t>وبالمنفصل، وهو ما يستقلّ بنفسه‏.»</w:t>
      </w:r>
      <w:r>
        <w:rPr>
          <w:rFonts w:cs="Abz-2 (Badr)"/>
          <w:sz w:val="28"/>
          <w:szCs w:val="28"/>
          <w:vertAlign w:val="superscript"/>
          <w:rtl/>
        </w:rPr>
        <w:footnoteReference w:id="12"/>
      </w:r>
    </w:p>
    <w:p w14:paraId="62F58AD6"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فإنّ عدّ الصفة من أقسام التخصيص، صريح في أنّ الإخراج بالتخصيص إخراج موضوعي.</w:t>
      </w:r>
    </w:p>
    <w:p w14:paraId="00DC2A0F"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 xml:space="preserve">وأمّا صاحب الفصول فقد صرّح بأنّ التخصيص يشمل الإخراج الموضوعي كما يشمل الإخراج الحكمي، وقال: </w:t>
      </w:r>
      <w:r>
        <w:rPr>
          <w:rFonts w:cs="Abz-2 (Badr)" w:hint="cs"/>
          <w:color w:val="0070C0"/>
          <w:sz w:val="28"/>
          <w:szCs w:val="28"/>
          <w:rtl/>
        </w:rPr>
        <w:t>«التخصيص قصر العامّ أو حكمه على بعض ما يتناوله.»‏</w:t>
      </w:r>
      <w:r>
        <w:rPr>
          <w:rFonts w:cs="Abz-2 (Badr)"/>
          <w:sz w:val="28"/>
          <w:szCs w:val="28"/>
          <w:vertAlign w:val="superscript"/>
          <w:rtl/>
        </w:rPr>
        <w:footnoteReference w:id="13"/>
      </w:r>
    </w:p>
    <w:p w14:paraId="19462DA9" w14:textId="77777777" w:rsidR="007E4FCC" w:rsidRDefault="007E4FCC" w:rsidP="007E4FCC">
      <w:pPr>
        <w:widowControl w:val="0"/>
        <w:bidi/>
        <w:spacing w:after="0"/>
        <w:ind w:firstLine="289"/>
        <w:jc w:val="both"/>
        <w:rPr>
          <w:rFonts w:cs="Abz-2 (Badr)"/>
          <w:sz w:val="28"/>
          <w:szCs w:val="28"/>
        </w:rPr>
      </w:pPr>
      <w:r>
        <w:rPr>
          <w:rFonts w:cs="Abz-2 (Badr)" w:hint="cs"/>
          <w:sz w:val="28"/>
          <w:szCs w:val="28"/>
          <w:rtl/>
        </w:rPr>
        <w:t xml:space="preserve">غير أنّ ما ذكر من كون التخصيص إخراجاً لفرد من تحت أفراد العامّ أو شمول التخصيص لهذا الأمر، لا يمكن الالتزام به، بل المراد منه هو إخراج فرد من أفراد الموضوع العامّ من شمول حكمه ـ </w:t>
      </w:r>
      <w:bookmarkStart w:id="5" w:name="_Hlk214369783"/>
      <w:r>
        <w:rPr>
          <w:rFonts w:cs="Abz-2 (Badr)" w:hint="cs"/>
          <w:sz w:val="28"/>
          <w:szCs w:val="28"/>
          <w:rtl/>
        </w:rPr>
        <w:t>أي: إخراجه الحکمي</w:t>
      </w:r>
      <w:bookmarkEnd w:id="5"/>
      <w:r>
        <w:rPr>
          <w:rFonts w:cs="Abz-2 (Badr)" w:hint="cs"/>
          <w:sz w:val="28"/>
          <w:szCs w:val="28"/>
          <w:rtl/>
        </w:rPr>
        <w:t xml:space="preserve"> ـ لا إخراجه من العامّ موضوعاً حتّی يقال: إنّ موضوع حكم العامّ لا يشمل ذلك الفرد أصلاً.</w:t>
      </w:r>
    </w:p>
    <w:p w14:paraId="34526651"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وبعبارة أُخرى: إنّ التخصيص إنّما يتحقّق فيما إذا كان موضوع الحكم في الدليل العامّ شاملاً لفرد من أفراد العامّ، ومع ذلك لا يترتّب الحكم على ذلك الفرد علی أساس المراد الجدّي للمتكلّم. أمّا إذا لم يكن موضوع الحكم شاملاً لفرد ما، فذلك في الحقيقة تخصّص لا تخصيص، كما أنّ تقييد الحكم بالقيود الواردة في نفس الدليل لا يعدّ تخصيصاً.</w:t>
      </w:r>
    </w:p>
    <w:p w14:paraId="582C0010"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وبالنتيجة، فلا يمكن عدّ الموارد التي قيّد فيها الموضوع بقيد ما ـ كالوصف ونحوه ـ من أقسام التخصيص.</w:t>
      </w:r>
    </w:p>
    <w:p w14:paraId="2B0B44B6" w14:textId="77777777" w:rsidR="007E4FCC" w:rsidRDefault="007E4FCC" w:rsidP="007E4FCC">
      <w:pPr>
        <w:widowControl w:val="0"/>
        <w:bidi/>
        <w:spacing w:after="0"/>
        <w:ind w:firstLine="289"/>
        <w:jc w:val="both"/>
        <w:rPr>
          <w:rFonts w:cs="Abz-2 (Badr)" w:hint="cs"/>
          <w:sz w:val="28"/>
          <w:szCs w:val="28"/>
          <w:rtl/>
        </w:rPr>
      </w:pPr>
      <w:r>
        <w:rPr>
          <w:rFonts w:cs="Abz-2 (Badr)" w:hint="cs"/>
          <w:sz w:val="28"/>
          <w:szCs w:val="28"/>
          <w:rtl/>
        </w:rPr>
        <w:t xml:space="preserve">كما لا يمكن عدّ الموارد التي قيّد فيها الحكم المذكور في القضيّة بقيد كالشرط أو الغاية ونحوهما من أقسام التخصيص، لأنّ ذلك لا يقتضي إخراجاً حكميّاً لبعض الأفراد من تحت شمول الدليل العامّ وإنّما يعدّ من قبيل تقييد الحكم بقيد </w:t>
      </w:r>
      <w:bookmarkStart w:id="6" w:name="_Hlk214370361"/>
      <w:r>
        <w:rPr>
          <w:rFonts w:cs="Abz-2 (Badr)" w:hint="cs"/>
          <w:sz w:val="28"/>
          <w:szCs w:val="28"/>
          <w:rtl/>
        </w:rPr>
        <w:t xml:space="preserve">ورفع </w:t>
      </w:r>
      <w:r>
        <w:rPr>
          <w:rFonts w:cs="Abz-2 (Badr)" w:hint="cs"/>
          <w:sz w:val="28"/>
          <w:szCs w:val="28"/>
          <w:rtl/>
        </w:rPr>
        <w:lastRenderedPageBreak/>
        <w:t>إطلاقه من دون نظر إلی أفراد الموضوع ولا تعرّض لحالها</w:t>
      </w:r>
      <w:bookmarkEnd w:id="6"/>
      <w:r>
        <w:rPr>
          <w:rFonts w:cs="Abz-2 (Badr)" w:hint="cs"/>
          <w:sz w:val="28"/>
          <w:szCs w:val="28"/>
          <w:rtl/>
        </w:rPr>
        <w:t>.</w:t>
      </w:r>
    </w:p>
    <w:p w14:paraId="7D9979DE" w14:textId="26D41A3F" w:rsidR="001B24FC" w:rsidRPr="007E4FCC" w:rsidRDefault="001B24FC" w:rsidP="007E4FCC">
      <w:pPr>
        <w:rPr>
          <w:rtl/>
        </w:rPr>
      </w:pPr>
    </w:p>
    <w:sectPr w:rsidR="001B24FC" w:rsidRPr="007E4FCC"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67FCC" w14:textId="77777777" w:rsidR="006B70D4" w:rsidRDefault="006B70D4" w:rsidP="00C336C5">
      <w:pPr>
        <w:spacing w:after="0" w:line="240" w:lineRule="auto"/>
      </w:pPr>
      <w:r>
        <w:separator/>
      </w:r>
    </w:p>
  </w:endnote>
  <w:endnote w:type="continuationSeparator" w:id="0">
    <w:p w14:paraId="783BFF6A" w14:textId="77777777" w:rsidR="006B70D4" w:rsidRDefault="006B70D4" w:rsidP="00C336C5">
      <w:pPr>
        <w:spacing w:after="0" w:line="240" w:lineRule="auto"/>
      </w:pPr>
      <w:r>
        <w:continuationSeparator/>
      </w:r>
    </w:p>
  </w:endnote>
  <w:endnote w:type="continuationNotice" w:id="1">
    <w:p w14:paraId="2DBC350A" w14:textId="77777777" w:rsidR="006B70D4" w:rsidRDefault="006B70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553C" w14:textId="77777777" w:rsidR="006B70D4" w:rsidRDefault="006B70D4" w:rsidP="00C336C5">
      <w:pPr>
        <w:bidi/>
        <w:spacing w:after="0" w:line="240" w:lineRule="auto"/>
      </w:pPr>
      <w:r>
        <w:separator/>
      </w:r>
    </w:p>
  </w:footnote>
  <w:footnote w:type="continuationSeparator" w:id="0">
    <w:p w14:paraId="7733AF32" w14:textId="77777777" w:rsidR="006B70D4" w:rsidRDefault="006B70D4" w:rsidP="00C336C5">
      <w:pPr>
        <w:spacing w:after="0" w:line="240" w:lineRule="auto"/>
      </w:pPr>
      <w:r>
        <w:continuationSeparator/>
      </w:r>
    </w:p>
  </w:footnote>
  <w:footnote w:type="continuationNotice" w:id="1">
    <w:p w14:paraId="4E1C087B" w14:textId="77777777" w:rsidR="006B70D4" w:rsidRDefault="006B70D4">
      <w:pPr>
        <w:spacing w:after="0" w:line="240" w:lineRule="auto"/>
      </w:pPr>
    </w:p>
  </w:footnote>
  <w:footnote w:id="2">
    <w:p w14:paraId="6A57C2A5" w14:textId="77777777" w:rsidR="007E4FCC" w:rsidRDefault="007E4FCC" w:rsidP="007E4FCC">
      <w:pPr>
        <w:pStyle w:val="FootnoteText"/>
        <w:bidi/>
        <w:jc w:val="left"/>
        <w:rPr>
          <w:rFonts w:cs="Abz-2 (Badr)"/>
          <w:lang w:bidi="fa-IR"/>
        </w:rPr>
      </w:pPr>
      <w:r>
        <w:rPr>
          <w:rFonts w:cs="Abz-2 (Badr)"/>
          <w:lang w:bidi="fa-IR"/>
        </w:rPr>
        <w:footnoteRef/>
      </w:r>
      <w:r>
        <w:rPr>
          <w:rFonts w:cs="Abz-2 (Badr)" w:hint="cs"/>
          <w:rtl/>
          <w:lang w:bidi="fa-IR"/>
        </w:rPr>
        <w:t xml:space="preserve"> ـ شرح العضد،ص208.</w:t>
      </w:r>
    </w:p>
  </w:footnote>
  <w:footnote w:id="3">
    <w:p w14:paraId="43D32D8D"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ـ اللمع،ص30.</w:t>
      </w:r>
    </w:p>
  </w:footnote>
  <w:footnote w:id="4">
    <w:p w14:paraId="17874C7F"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کتاب العدّة،ج1،ص155.</w:t>
      </w:r>
    </w:p>
  </w:footnote>
  <w:footnote w:id="5">
    <w:p w14:paraId="3C8E688C"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الذريعة،ج1،ص235.</w:t>
      </w:r>
    </w:p>
  </w:footnote>
  <w:footnote w:id="6">
    <w:p w14:paraId="3E4D967B"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القوانين المحکمة،ج2،ص7.</w:t>
      </w:r>
    </w:p>
  </w:footnote>
  <w:footnote w:id="7">
    <w:p w14:paraId="4192BB6F"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الفصول الغرويّة،ص185.</w:t>
      </w:r>
    </w:p>
  </w:footnote>
  <w:footnote w:id="8">
    <w:p w14:paraId="352D677E" w14:textId="77777777" w:rsidR="007E4FCC" w:rsidRDefault="007E4FCC" w:rsidP="007E4FCC">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شرح العضد،ص208.</w:t>
      </w:r>
    </w:p>
  </w:footnote>
  <w:footnote w:id="9">
    <w:p w14:paraId="29E82245"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ـ اللمع،ص30.</w:t>
      </w:r>
    </w:p>
  </w:footnote>
  <w:footnote w:id="10">
    <w:p w14:paraId="49776E35"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كتاب العدّة،ج1،ص155.</w:t>
      </w:r>
    </w:p>
  </w:footnote>
  <w:footnote w:id="11">
    <w:p w14:paraId="05CBC97D"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الذريعة،ج1،ص235.</w:t>
      </w:r>
    </w:p>
  </w:footnote>
  <w:footnote w:id="12">
    <w:p w14:paraId="75FD78E7"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القوانين المحكمة،ج2،ص7.</w:t>
      </w:r>
    </w:p>
  </w:footnote>
  <w:footnote w:id="13">
    <w:p w14:paraId="1814347A" w14:textId="77777777" w:rsidR="007E4FCC" w:rsidRDefault="007E4FCC" w:rsidP="007E4FCC">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الفصول الغرويّة،ص185.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DBBF60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E4FCC">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E4FCC">
                            <w:rPr>
                              <w:rFonts w:cs="B Mehr" w:hint="cs"/>
                              <w:rtl/>
                              <w:lang w:bidi="fa-IR"/>
                            </w:rPr>
                            <w:t>27</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DBBF60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E4FCC">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E4FCC">
                      <w:rPr>
                        <w:rFonts w:cs="B Mehr" w:hint="cs"/>
                        <w:rtl/>
                        <w:lang w:bidi="fa-IR"/>
                      </w:rPr>
                      <w:t>27</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4108</TotalTime>
  <Pages>1</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1254</cp:revision>
  <cp:lastPrinted>2025-04-15T09:36:00Z</cp:lastPrinted>
  <dcterms:created xsi:type="dcterms:W3CDTF">2022-10-16T08:36:00Z</dcterms:created>
  <dcterms:modified xsi:type="dcterms:W3CDTF">2025-11-23T07:28:00Z</dcterms:modified>
</cp:coreProperties>
</file>