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9A15D" w14:textId="77777777" w:rsidR="00BC039D" w:rsidRDefault="00BC039D" w:rsidP="00BC039D">
      <w:pPr>
        <w:widowControl w:val="0"/>
        <w:spacing w:after="0"/>
        <w:jc w:val="center"/>
        <w:rPr>
          <w:rFonts w:cs="QuranTaha"/>
          <w:sz w:val="28"/>
          <w:szCs w:val="28"/>
          <w:lang w:bidi="fa-IR"/>
        </w:rPr>
      </w:pPr>
      <w:bookmarkStart w:id="0" w:name="_Hlk115512063"/>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7E002341" w14:textId="77777777" w:rsidR="00BC039D" w:rsidRDefault="00BC039D" w:rsidP="00BC039D">
      <w:pPr>
        <w:widowControl w:val="0"/>
        <w:bidi/>
        <w:spacing w:after="0"/>
        <w:jc w:val="center"/>
        <w:rPr>
          <w:rFonts w:cs="B Mitra" w:hint="cs"/>
          <w:b/>
          <w:bCs/>
          <w:sz w:val="32"/>
          <w:szCs w:val="32"/>
          <w:rtl/>
          <w:lang w:bidi="fa-IR"/>
        </w:rPr>
      </w:pPr>
      <w:r>
        <w:rPr>
          <w:rFonts w:cs="B Mitra" w:hint="cs"/>
          <w:b/>
          <w:bCs/>
          <w:sz w:val="32"/>
          <w:szCs w:val="32"/>
          <w:rtl/>
          <w:lang w:bidi="fa-IR"/>
        </w:rPr>
        <w:t>تقریر بحث اصول</w:t>
      </w:r>
    </w:p>
    <w:p w14:paraId="665576D6" w14:textId="77777777" w:rsidR="00BC039D" w:rsidRDefault="00BC039D" w:rsidP="00BC039D">
      <w:pPr>
        <w:widowControl w:val="0"/>
        <w:bidi/>
        <w:spacing w:after="240"/>
        <w:jc w:val="center"/>
        <w:rPr>
          <w:rFonts w:cs="B Mitra" w:hint="cs"/>
          <w:b/>
          <w:bCs/>
          <w:sz w:val="32"/>
          <w:szCs w:val="32"/>
          <w:rtl/>
          <w:lang w:bidi="fa-IR"/>
        </w:rPr>
      </w:pPr>
      <w:r>
        <w:rPr>
          <w:rFonts w:cs="B Mitra" w:hint="cs"/>
          <w:b/>
          <w:bCs/>
          <w:sz w:val="32"/>
          <w:szCs w:val="32"/>
          <w:rtl/>
          <w:lang w:bidi="fa-IR"/>
        </w:rPr>
        <w:t>جلسه 972</w:t>
      </w:r>
    </w:p>
    <w:bookmarkEnd w:id="0"/>
    <w:p w14:paraId="77BCE441" w14:textId="77777777" w:rsidR="00BC039D" w:rsidRDefault="00BC039D" w:rsidP="00BC039D">
      <w:pPr>
        <w:widowControl w:val="0"/>
        <w:bidi/>
        <w:spacing w:before="240" w:line="261" w:lineRule="auto"/>
        <w:ind w:firstLine="289"/>
        <w:jc w:val="both"/>
        <w:rPr>
          <w:rFonts w:cs="2  Mitra" w:hint="cs"/>
          <w:sz w:val="28"/>
          <w:szCs w:val="28"/>
          <w:rtl/>
        </w:rPr>
      </w:pPr>
    </w:p>
    <w:p w14:paraId="248D7CC3" w14:textId="77777777" w:rsidR="00BC039D" w:rsidRDefault="00BC039D" w:rsidP="00BC039D">
      <w:pPr>
        <w:widowControl w:val="0"/>
        <w:bidi/>
        <w:spacing w:before="240" w:line="252" w:lineRule="auto"/>
        <w:ind w:firstLine="289"/>
        <w:jc w:val="both"/>
        <w:rPr>
          <w:rFonts w:cs="2  Mitra" w:hint="cs"/>
          <w:sz w:val="28"/>
          <w:szCs w:val="28"/>
          <w:rtl/>
          <w:lang w:bidi="fa-IR"/>
        </w:rPr>
      </w:pPr>
      <w:r>
        <w:rPr>
          <w:rFonts w:cs="2  Mitra" w:hint="cs"/>
          <w:sz w:val="28"/>
          <w:szCs w:val="28"/>
          <w:rtl/>
          <w:lang w:bidi="fa-IR"/>
        </w:rPr>
        <w:t>در ابتدای مسأله گذشت که مرحوم آخوند بين مخصص متصل و مخصص منفصل فرق گذاشته</w:t>
      </w:r>
      <w:r>
        <w:rPr>
          <w:rFonts w:cs="2  Mitra" w:hint="cs"/>
          <w:sz w:val="28"/>
          <w:szCs w:val="28"/>
          <w:rtl/>
          <w:lang w:bidi="fa-IR"/>
        </w:rPr>
        <w:softHyphen/>
        <w:t xml:space="preserve">اند و </w:t>
      </w:r>
      <w:r>
        <w:rPr>
          <w:rFonts w:cs="2  Mitra" w:hint="cs"/>
          <w:color w:val="000000" w:themeColor="text1"/>
          <w:sz w:val="28"/>
          <w:szCs w:val="28"/>
          <w:rtl/>
        </w:rPr>
        <w:t>در مخصص متصل، ورود خاص را تخصیص به شمار نیاورده و آن را موجب تضییق دایره موضوع عام دانسته‌اند</w:t>
      </w:r>
      <w:r>
        <w:rPr>
          <w:rFonts w:cs="2  Mitra" w:hint="cs"/>
          <w:sz w:val="28"/>
          <w:szCs w:val="28"/>
          <w:rtl/>
          <w:lang w:bidi="fa-IR"/>
        </w:rPr>
        <w:t>.</w:t>
      </w:r>
    </w:p>
    <w:p w14:paraId="62F81516" w14:textId="77777777" w:rsidR="00BC039D" w:rsidRDefault="00BC039D" w:rsidP="00BC039D">
      <w:pPr>
        <w:widowControl w:val="0"/>
        <w:bidi/>
        <w:spacing w:before="240" w:line="252" w:lineRule="auto"/>
        <w:ind w:firstLine="284"/>
        <w:jc w:val="both"/>
        <w:rPr>
          <w:rFonts w:cs="2  Mitra" w:hint="cs"/>
          <w:color w:val="000000" w:themeColor="text1"/>
          <w:sz w:val="28"/>
          <w:szCs w:val="28"/>
          <w:rtl/>
        </w:rPr>
      </w:pPr>
      <w:r>
        <w:rPr>
          <w:rFonts w:cs="2  Mitra" w:hint="cs"/>
          <w:color w:val="000000" w:themeColor="text1"/>
          <w:sz w:val="28"/>
          <w:szCs w:val="28"/>
          <w:rtl/>
        </w:rPr>
        <w:t>امّا اين مدعا قابل التزام نیست و از این جهت تفاوتی میان ورود خاص به صورت متصل و ورود آن به صورت منفصل وجود ندارد.</w:t>
      </w:r>
    </w:p>
    <w:p w14:paraId="624DDB6F" w14:textId="77777777" w:rsidR="00BC039D" w:rsidRDefault="00BC039D" w:rsidP="00BC039D">
      <w:pPr>
        <w:widowControl w:val="0"/>
        <w:bidi/>
        <w:spacing w:before="240" w:line="252" w:lineRule="auto"/>
        <w:ind w:firstLine="284"/>
        <w:jc w:val="both"/>
        <w:rPr>
          <w:rFonts w:cs="2  Mitra" w:hint="cs"/>
          <w:color w:val="000000" w:themeColor="text1"/>
          <w:sz w:val="28"/>
          <w:szCs w:val="28"/>
          <w:rtl/>
        </w:rPr>
      </w:pPr>
      <w:r>
        <w:rPr>
          <w:rFonts w:cs="2  Mitra" w:hint="cs"/>
          <w:color w:val="000000" w:themeColor="text1"/>
          <w:sz w:val="28"/>
          <w:szCs w:val="28"/>
          <w:rtl/>
        </w:rPr>
        <w:t>در واقع، مدعای مرحوم آخوند این است که اگر خاص در دلیلی متصل وارد شود و مثلاً گفته شود: «</w:t>
      </w:r>
      <w:r>
        <w:rPr>
          <w:rFonts w:cs="Abz-2 (Badr)" w:hint="cs"/>
          <w:color w:val="000000" w:themeColor="text1"/>
          <w:sz w:val="28"/>
          <w:szCs w:val="28"/>
          <w:rtl/>
        </w:rPr>
        <w:t>أكرم كلّ عالم إلا الفسّاق منهم</w:t>
      </w:r>
      <w:r>
        <w:rPr>
          <w:rFonts w:cs="2  Mitra" w:hint="cs"/>
          <w:color w:val="000000" w:themeColor="text1"/>
          <w:sz w:val="28"/>
          <w:szCs w:val="28"/>
          <w:rtl/>
        </w:rPr>
        <w:t>»، مفاد آن این است که گفته شده باشد: «</w:t>
      </w:r>
      <w:r>
        <w:rPr>
          <w:rFonts w:cs="Abz-2 (Badr)" w:hint="cs"/>
          <w:color w:val="000000" w:themeColor="text1"/>
          <w:sz w:val="28"/>
          <w:szCs w:val="28"/>
          <w:rtl/>
        </w:rPr>
        <w:t>أكرم كلّ عالم غير فاسق</w:t>
      </w:r>
      <w:r>
        <w:rPr>
          <w:rFonts w:cs="2  Mitra" w:hint="cs"/>
          <w:color w:val="000000" w:themeColor="text1"/>
          <w:sz w:val="28"/>
          <w:szCs w:val="28"/>
          <w:rtl/>
        </w:rPr>
        <w:t>» که به معنای تضییق دایره موضوع حکم از ابتداست و منافاتی با کارکرد ادوات عموم ندارد؛ زیرا ادوات عموم تنها دلالت بر شمول مدخول خود بر تمام افراد همان مدخول دارند، نه بر شمول نسبت به غیر افراد آن. بنابر این اگر مدخول از ابتدا مقیّد باشد، شمول ادوات عموم منحصر می‌شود در افرادی که دارای قید مذکورند.</w:t>
      </w:r>
    </w:p>
    <w:p w14:paraId="5FE8277C" w14:textId="77777777" w:rsidR="00BC039D" w:rsidRDefault="00BC039D" w:rsidP="00BC039D">
      <w:pPr>
        <w:widowControl w:val="0"/>
        <w:bidi/>
        <w:spacing w:before="240" w:line="252" w:lineRule="auto"/>
        <w:ind w:firstLine="284"/>
        <w:jc w:val="both"/>
        <w:rPr>
          <w:rFonts w:cs="2  Mitra" w:hint="cs"/>
          <w:color w:val="000000" w:themeColor="text1"/>
          <w:sz w:val="28"/>
          <w:szCs w:val="28"/>
          <w:rtl/>
        </w:rPr>
      </w:pPr>
      <w:r>
        <w:rPr>
          <w:rFonts w:cs="2  Mitra" w:hint="cs"/>
          <w:color w:val="000000" w:themeColor="text1"/>
          <w:sz w:val="28"/>
          <w:szCs w:val="28"/>
          <w:rtl/>
        </w:rPr>
        <w:t>امّا اشکال این مطلب آن است که ورود خاص در دلیل متصل سبب نمی‌شود که مدخول ادوات عموم مقیّد گردد و مثلاً «</w:t>
      </w:r>
      <w:r>
        <w:rPr>
          <w:rFonts w:cs="Abz-2 (Badr)" w:hint="cs"/>
          <w:color w:val="000000" w:themeColor="text1"/>
          <w:sz w:val="28"/>
          <w:szCs w:val="28"/>
          <w:rtl/>
        </w:rPr>
        <w:t>أكرم كلّ عالم</w:t>
      </w:r>
      <w:r>
        <w:rPr>
          <w:rFonts w:cs="2  Mitra" w:hint="cs"/>
          <w:color w:val="000000" w:themeColor="text1"/>
          <w:sz w:val="28"/>
          <w:szCs w:val="28"/>
          <w:rtl/>
        </w:rPr>
        <w:t>» به «</w:t>
      </w:r>
      <w:r>
        <w:rPr>
          <w:rFonts w:cs="Abz-2 (Badr)" w:hint="cs"/>
          <w:color w:val="000000" w:themeColor="text1"/>
          <w:sz w:val="28"/>
          <w:szCs w:val="28"/>
          <w:rtl/>
        </w:rPr>
        <w:t>أكرم كلّ عالم غير فاسق</w:t>
      </w:r>
      <w:r>
        <w:rPr>
          <w:rFonts w:cs="2  Mitra" w:hint="cs"/>
          <w:color w:val="000000" w:themeColor="text1"/>
          <w:sz w:val="28"/>
          <w:szCs w:val="28"/>
          <w:rtl/>
        </w:rPr>
        <w:t>» تبدیل شود، بلکه غایت امر آن است که از ورود تخصیص درمی‌یابیم مراد جدّی متکلّم، عدم شمول حکم عام بر افرادی است که دليل خاص آنها را شامل شده است. بنابر اين از این جهت، تفاوتی میان مخصّص متصل و منفصل وجود ندارد؛ نهایت تفاوت آن است که اگر مخصّص متّصل باشد، ظهور در این معنا که مراد جدّی متکلّم عدم شمول حکم عام بر افراد خاص است، قوی‌تر و روشن‌تر خواهد بود.</w:t>
      </w:r>
    </w:p>
    <w:p w14:paraId="683FAB0B" w14:textId="77777777" w:rsidR="00BC039D" w:rsidRDefault="00BC039D" w:rsidP="00BC039D">
      <w:pPr>
        <w:widowControl w:val="0"/>
        <w:bidi/>
        <w:spacing w:before="240" w:line="252" w:lineRule="auto"/>
        <w:ind w:firstLine="284"/>
        <w:jc w:val="both"/>
        <w:rPr>
          <w:rFonts w:cs="2  Mitra" w:hint="cs"/>
          <w:color w:val="000000" w:themeColor="text1"/>
          <w:sz w:val="28"/>
          <w:szCs w:val="28"/>
          <w:rtl/>
        </w:rPr>
      </w:pPr>
      <w:r>
        <w:rPr>
          <w:rFonts w:cs="2  Mitra" w:hint="cs"/>
          <w:color w:val="000000" w:themeColor="text1"/>
          <w:sz w:val="28"/>
          <w:szCs w:val="28"/>
          <w:rtl/>
        </w:rPr>
        <w:t>برای توضيح اين مطلب بهتر است ابتدا نگاهی به تعریفی که از مخصص متصل و منفصل ارائه شده داشته باشيم.</w:t>
      </w:r>
    </w:p>
    <w:p w14:paraId="6D91AD85" w14:textId="77777777" w:rsidR="00BC039D" w:rsidRDefault="00BC039D" w:rsidP="00BC039D">
      <w:pPr>
        <w:widowControl w:val="0"/>
        <w:bidi/>
        <w:spacing w:before="240" w:line="252" w:lineRule="auto"/>
        <w:ind w:firstLine="284"/>
        <w:jc w:val="both"/>
        <w:rPr>
          <w:rFonts w:cs="Abz-2 (Badr)" w:hint="cs"/>
          <w:color w:val="0070C0"/>
          <w:sz w:val="28"/>
          <w:szCs w:val="28"/>
          <w:rtl/>
        </w:rPr>
      </w:pPr>
      <w:r>
        <w:rPr>
          <w:rFonts w:cs="2  Mitra" w:hint="cs"/>
          <w:color w:val="000000" w:themeColor="text1"/>
          <w:sz w:val="28"/>
          <w:szCs w:val="28"/>
          <w:rtl/>
        </w:rPr>
        <w:t>عضدالدين ايجی در شرح خود بر مختصر ابن حاجب می</w:t>
      </w:r>
      <w:r>
        <w:rPr>
          <w:rFonts w:cs="2  Mitra" w:hint="cs"/>
          <w:color w:val="000000" w:themeColor="text1"/>
          <w:sz w:val="28"/>
          <w:szCs w:val="28"/>
          <w:rtl/>
        </w:rPr>
        <w:softHyphen/>
        <w:t>گويد:</w:t>
      </w:r>
      <w:r>
        <w:rPr>
          <w:rFonts w:cs="Abz-2 (Badr)" w:hint="cs"/>
          <w:sz w:val="28"/>
          <w:szCs w:val="28"/>
          <w:rtl/>
        </w:rPr>
        <w:t xml:space="preserve"> </w:t>
      </w:r>
      <w:bookmarkStart w:id="1" w:name="_Hlk213928347"/>
      <w:r>
        <w:rPr>
          <w:rFonts w:cs="Abz-2 (Badr)" w:hint="cs"/>
          <w:color w:val="0070C0"/>
          <w:sz w:val="28"/>
          <w:szCs w:val="28"/>
          <w:rtl/>
        </w:rPr>
        <w:t xml:space="preserve">«المخصّص ينقسم إلى متّصل ومنفصل، لأنّه إمّا أن لا </w:t>
      </w:r>
      <w:r>
        <w:rPr>
          <w:rFonts w:cs="Abz-2 (Badr)" w:hint="cs"/>
          <w:color w:val="0070C0"/>
          <w:sz w:val="28"/>
          <w:szCs w:val="28"/>
          <w:rtl/>
        </w:rPr>
        <w:lastRenderedPageBreak/>
        <w:t>يستقلّ بنفسه أو يستقلّ؛ والأوّل المتّصل والثاني المنفصل.</w:t>
      </w:r>
    </w:p>
    <w:p w14:paraId="08BAB012" w14:textId="77777777" w:rsidR="00BC039D" w:rsidRDefault="00BC039D" w:rsidP="00BC039D">
      <w:pPr>
        <w:widowControl w:val="0"/>
        <w:bidi/>
        <w:spacing w:before="240" w:line="252" w:lineRule="auto"/>
        <w:ind w:firstLine="284"/>
        <w:jc w:val="both"/>
        <w:rPr>
          <w:rFonts w:cs="Abz-2 (Badr)" w:hint="cs"/>
          <w:color w:val="0070C0"/>
          <w:sz w:val="28"/>
          <w:szCs w:val="28"/>
          <w:rtl/>
        </w:rPr>
      </w:pPr>
      <w:r>
        <w:rPr>
          <w:rFonts w:cs="Abz-2 (Badr)" w:hint="cs"/>
          <w:color w:val="0070C0"/>
          <w:sz w:val="28"/>
          <w:szCs w:val="28"/>
          <w:rtl/>
        </w:rPr>
        <w:t xml:space="preserve">والمخصّص المتّصل خمسة: أ ـ الاستثناء المتّصل...ب ـ </w:t>
      </w:r>
      <w:r>
        <w:rPr>
          <w:rFonts w:cs="Abz-2 (Badr)" w:hint="cs"/>
          <w:color w:val="0070C0"/>
          <w:sz w:val="28"/>
          <w:szCs w:val="28"/>
        </w:rPr>
        <w:t xml:space="preserve"> </w:t>
      </w:r>
      <w:r>
        <w:rPr>
          <w:rFonts w:cs="Abz-2 (Badr)" w:hint="cs"/>
          <w:color w:val="0070C0"/>
          <w:sz w:val="28"/>
          <w:szCs w:val="28"/>
          <w:rtl/>
        </w:rPr>
        <w:t>الشرط... ج ـ الصفة... د ـ الغاية... هـ ـ بدل البعض...</w:t>
      </w:r>
    </w:p>
    <w:p w14:paraId="7D01539D" w14:textId="77777777" w:rsidR="00BC039D" w:rsidRDefault="00BC039D" w:rsidP="00BC039D">
      <w:pPr>
        <w:widowControl w:val="0"/>
        <w:bidi/>
        <w:spacing w:before="240"/>
        <w:ind w:firstLine="284"/>
        <w:jc w:val="both"/>
        <w:rPr>
          <w:rFonts w:cs="Abz-2 (Badr)" w:hint="cs"/>
          <w:sz w:val="28"/>
          <w:szCs w:val="28"/>
          <w:rtl/>
        </w:rPr>
      </w:pPr>
      <w:r>
        <w:rPr>
          <w:rFonts w:cs="Abz-2 (Badr)" w:hint="cs"/>
          <w:color w:val="0070C0"/>
          <w:sz w:val="28"/>
          <w:szCs w:val="28"/>
          <w:rtl/>
        </w:rPr>
        <w:t>وأنت تعلم أنّ منها ما يُخرج المذکور، کالاستثناء والغاية، ومنها ما يُخرج غير المذکور، کالشرط والصفة والبدل.»</w:t>
      </w:r>
      <w:r>
        <w:rPr>
          <w:rStyle w:val="FootnoteReference"/>
          <w:rFonts w:cs="Abz-2 (Badr)"/>
          <w:sz w:val="28"/>
          <w:szCs w:val="28"/>
          <w:rtl/>
        </w:rPr>
        <w:footnoteReference w:id="2"/>
      </w:r>
    </w:p>
    <w:bookmarkEnd w:id="1"/>
    <w:p w14:paraId="36F1AD44" w14:textId="77777777" w:rsidR="00BC039D" w:rsidRDefault="00BC039D" w:rsidP="00BC039D">
      <w:pPr>
        <w:widowControl w:val="0"/>
        <w:bidi/>
        <w:spacing w:before="240" w:line="252" w:lineRule="auto"/>
        <w:ind w:firstLine="284"/>
        <w:jc w:val="both"/>
        <w:rPr>
          <w:rFonts w:cs="2  Mitra" w:hint="cs"/>
          <w:color w:val="000000" w:themeColor="text1"/>
          <w:sz w:val="28"/>
          <w:szCs w:val="28"/>
          <w:rtl/>
          <w:lang w:bidi="fa-IR"/>
        </w:rPr>
      </w:pPr>
      <w:r>
        <w:rPr>
          <w:rFonts w:cs="2  Mitra" w:hint="cs"/>
          <w:color w:val="000000" w:themeColor="text1"/>
          <w:sz w:val="28"/>
          <w:szCs w:val="28"/>
          <w:rtl/>
          <w:lang w:bidi="fa-IR"/>
        </w:rPr>
        <w:t>آنچه که از کلام ايجی بر می</w:t>
      </w:r>
      <w:r>
        <w:rPr>
          <w:rFonts w:cs="2  Mitra" w:hint="cs"/>
          <w:color w:val="000000" w:themeColor="text1"/>
          <w:sz w:val="28"/>
          <w:szCs w:val="28"/>
          <w:rtl/>
          <w:lang w:bidi="fa-IR"/>
        </w:rPr>
        <w:softHyphen/>
        <w:t>آيد اين است که تخصيص را اعم از اخراج موضوعی و حکمی دانسته است؛ فلذا مواردی را که از اخراج موضوعی محسوب می</w:t>
      </w:r>
      <w:r>
        <w:rPr>
          <w:rFonts w:cs="2  Mitra" w:hint="cs"/>
          <w:color w:val="000000" w:themeColor="text1"/>
          <w:sz w:val="28"/>
          <w:szCs w:val="28"/>
          <w:rtl/>
          <w:lang w:bidi="fa-IR"/>
        </w:rPr>
        <w:softHyphen/>
        <w:t>شوند، از اقسام تخصيص متصل در نظر گرفته است.</w:t>
      </w:r>
    </w:p>
    <w:p w14:paraId="7090CDA9" w14:textId="77777777" w:rsidR="00BC039D" w:rsidRDefault="00BC039D" w:rsidP="00BC039D">
      <w:pPr>
        <w:widowControl w:val="0"/>
        <w:bidi/>
        <w:spacing w:before="240" w:line="252" w:lineRule="auto"/>
        <w:ind w:firstLine="284"/>
        <w:jc w:val="both"/>
        <w:rPr>
          <w:rFonts w:cs="Abz-2 (Badr)" w:hint="cs"/>
          <w:color w:val="0070C0"/>
          <w:sz w:val="28"/>
          <w:szCs w:val="28"/>
          <w:rtl/>
        </w:rPr>
      </w:pPr>
      <w:bookmarkStart w:id="2" w:name="_Hlk213928468"/>
      <w:r>
        <w:rPr>
          <w:rFonts w:cs="2  Mitra" w:hint="cs"/>
          <w:color w:val="000000" w:themeColor="text1"/>
          <w:sz w:val="28"/>
          <w:szCs w:val="28"/>
          <w:rtl/>
        </w:rPr>
        <w:t>تفتازانی نيز می</w:t>
      </w:r>
      <w:r>
        <w:rPr>
          <w:rFonts w:cs="2  Mitra" w:hint="cs"/>
          <w:color w:val="000000" w:themeColor="text1"/>
          <w:sz w:val="28"/>
          <w:szCs w:val="28"/>
          <w:rtl/>
        </w:rPr>
        <w:softHyphen/>
        <w:t>گويد:</w:t>
      </w:r>
      <w:r>
        <w:rPr>
          <w:rFonts w:cs="Abz-2 (Badr)" w:hint="cs"/>
          <w:sz w:val="28"/>
          <w:szCs w:val="28"/>
          <w:rtl/>
        </w:rPr>
        <w:t xml:space="preserve"> </w:t>
      </w:r>
      <w:r>
        <w:rPr>
          <w:rFonts w:cs="Abz-2 (Badr)" w:hint="cs"/>
          <w:color w:val="0070C0"/>
          <w:sz w:val="28"/>
          <w:szCs w:val="28"/>
          <w:rtl/>
        </w:rPr>
        <w:t>«(فصل: قَصرُ العامّ على بعض ما تناوله لا يخلو من أن يكون بغير مستقلّ) أي: بكلام يتعلّق بصدر الكلام ولا يكون تامّاً بنفسه، والمستقلّ ما لا يكون كذلك، سواء كان كلاماً أو لم يكن.</w:t>
      </w:r>
    </w:p>
    <w:p w14:paraId="7E2EC2ED" w14:textId="77777777" w:rsidR="00BC039D" w:rsidRDefault="00BC039D" w:rsidP="00BC039D">
      <w:pPr>
        <w:widowControl w:val="0"/>
        <w:bidi/>
        <w:spacing w:before="240" w:line="252" w:lineRule="auto"/>
        <w:ind w:firstLine="284"/>
        <w:jc w:val="both"/>
        <w:rPr>
          <w:rFonts w:cs="Abz-2 (Badr)" w:hint="cs"/>
          <w:color w:val="0070C0"/>
          <w:sz w:val="28"/>
          <w:szCs w:val="28"/>
          <w:rtl/>
        </w:rPr>
      </w:pPr>
      <w:r>
        <w:rPr>
          <w:rFonts w:cs="Abz-2 (Badr)" w:hint="cs"/>
          <w:color w:val="0070C0"/>
          <w:sz w:val="28"/>
          <w:szCs w:val="28"/>
          <w:rtl/>
        </w:rPr>
        <w:t>(وهو) أي: غير المستقلّ (الاستثناء والشرط والصفة والغاية)؛ فالاستثناء يوجب قصر العامّ على بعض أفراده، والشرط يوجب قصر صدر الكلام على بعض التقادير... والصفة توجب القصر على ما يوجد فيه الصفة... والغاية توجب القصر على البعض الذي جعل الغاية حدّاً له...</w:t>
      </w:r>
    </w:p>
    <w:p w14:paraId="62F90C16" w14:textId="77777777" w:rsidR="00BC039D" w:rsidRDefault="00BC039D" w:rsidP="00BC039D">
      <w:pPr>
        <w:widowControl w:val="0"/>
        <w:bidi/>
        <w:spacing w:before="240" w:line="252" w:lineRule="auto"/>
        <w:ind w:firstLine="284"/>
        <w:jc w:val="both"/>
        <w:rPr>
          <w:rFonts w:cs="Abz-2 (Badr)" w:hint="cs"/>
          <w:color w:val="0070C0"/>
          <w:sz w:val="28"/>
          <w:szCs w:val="28"/>
          <w:rtl/>
        </w:rPr>
      </w:pPr>
      <w:r>
        <w:rPr>
          <w:rFonts w:cs="Abz-2 (Badr)" w:hint="cs"/>
          <w:color w:val="0070C0"/>
          <w:sz w:val="28"/>
          <w:szCs w:val="28"/>
          <w:rtl/>
        </w:rPr>
        <w:t>(أو بمستقلّ)...</w:t>
      </w:r>
    </w:p>
    <w:p w14:paraId="075189ED" w14:textId="77777777" w:rsidR="00BC039D" w:rsidRDefault="00BC039D" w:rsidP="00BC039D">
      <w:pPr>
        <w:widowControl w:val="0"/>
        <w:bidi/>
        <w:spacing w:before="240" w:line="252" w:lineRule="auto"/>
        <w:ind w:firstLine="284"/>
        <w:jc w:val="both"/>
        <w:rPr>
          <w:rFonts w:cs="Abz-2 (Badr)" w:hint="cs"/>
          <w:color w:val="0070C0"/>
          <w:sz w:val="28"/>
          <w:szCs w:val="28"/>
          <w:rtl/>
        </w:rPr>
      </w:pPr>
      <w:r>
        <w:rPr>
          <w:rFonts w:cs="Abz-2 (Badr)" w:hint="cs"/>
          <w:color w:val="0070C0"/>
          <w:sz w:val="28"/>
          <w:szCs w:val="28"/>
          <w:rtl/>
        </w:rPr>
        <w:t>قوله: (فصل قصر العامّ على بعض ما تناوله) تخصيص عند الشافعيّة.</w:t>
      </w:r>
    </w:p>
    <w:p w14:paraId="5E250C15" w14:textId="77777777" w:rsidR="00BC039D" w:rsidRDefault="00BC039D" w:rsidP="00BC039D">
      <w:pPr>
        <w:widowControl w:val="0"/>
        <w:bidi/>
        <w:spacing w:before="240" w:line="252" w:lineRule="auto"/>
        <w:ind w:firstLine="284"/>
        <w:jc w:val="both"/>
        <w:rPr>
          <w:rFonts w:cs="Abz-2 (Badr)" w:hint="cs"/>
          <w:color w:val="0070C0"/>
          <w:sz w:val="28"/>
          <w:szCs w:val="28"/>
          <w:rtl/>
        </w:rPr>
      </w:pPr>
      <w:r>
        <w:rPr>
          <w:rFonts w:cs="Abz-2 (Badr)" w:hint="cs"/>
          <w:color w:val="0070C0"/>
          <w:sz w:val="28"/>
          <w:szCs w:val="28"/>
          <w:rtl/>
        </w:rPr>
        <w:t>وأمّا عند الحنفية ففيه تفصيل؛ وهو أنّه إمّا أن يكون بغير مستقلّ أو بمستقلّ، والأوّل ليس بتخصيص، بل إن كان بـ «إلّا» وأخواتها فالاستثناء، وإلا فإن كان بـ «إن» وما يؤدّي مؤدّاها فشرط، وإلا فإن كان بـ «إلى» وما يفيد معناها فغاية، وإلا فصفة... أو غيرها... فعلم أنّه لا ينحصر في الأربعة.</w:t>
      </w:r>
    </w:p>
    <w:p w14:paraId="4E4D6A4E" w14:textId="77777777" w:rsidR="00BC039D" w:rsidRDefault="00BC039D" w:rsidP="00BC039D">
      <w:pPr>
        <w:widowControl w:val="0"/>
        <w:bidi/>
        <w:spacing w:before="240" w:line="252" w:lineRule="auto"/>
        <w:ind w:firstLine="284"/>
        <w:jc w:val="both"/>
        <w:rPr>
          <w:rFonts w:cs="Abz-2 (Badr)" w:hint="cs"/>
          <w:color w:val="0070C0"/>
          <w:sz w:val="28"/>
          <w:szCs w:val="28"/>
          <w:rtl/>
        </w:rPr>
      </w:pPr>
      <w:r>
        <w:rPr>
          <w:rFonts w:cs="Abz-2 (Badr)" w:hint="cs"/>
          <w:color w:val="0070C0"/>
          <w:sz w:val="28"/>
          <w:szCs w:val="28"/>
          <w:rtl/>
        </w:rPr>
        <w:t>والثاني هو التخصيص، سواء كان بدلالة اللفظ أو العقل أو الحسّ أو العادة أو نقصان بعض الأفراد أو زيادته.</w:t>
      </w:r>
    </w:p>
    <w:p w14:paraId="0AF402AA" w14:textId="77777777" w:rsidR="00BC039D" w:rsidRDefault="00BC039D" w:rsidP="00BC039D">
      <w:pPr>
        <w:widowControl w:val="0"/>
        <w:bidi/>
        <w:spacing w:before="240" w:line="252" w:lineRule="auto"/>
        <w:ind w:firstLine="284"/>
        <w:jc w:val="both"/>
        <w:rPr>
          <w:rFonts w:cs="Abz-2 (Badr)" w:hint="cs"/>
          <w:color w:val="0070C0"/>
          <w:sz w:val="28"/>
          <w:szCs w:val="28"/>
          <w:rtl/>
        </w:rPr>
      </w:pPr>
      <w:r>
        <w:rPr>
          <w:rFonts w:cs="Abz-2 (Badr)" w:hint="cs"/>
          <w:color w:val="0070C0"/>
          <w:sz w:val="28"/>
          <w:szCs w:val="28"/>
          <w:rtl/>
        </w:rPr>
        <w:lastRenderedPageBreak/>
        <w:t>وفسّر غير المستقلّ بكلام يتعلّق بصدر الكلام ولا يكون تامّاً بنفسه...</w:t>
      </w:r>
    </w:p>
    <w:p w14:paraId="4E16DC71" w14:textId="77777777" w:rsidR="00BC039D" w:rsidRDefault="00BC039D" w:rsidP="00BC039D">
      <w:pPr>
        <w:widowControl w:val="0"/>
        <w:bidi/>
        <w:spacing w:before="240" w:line="252" w:lineRule="auto"/>
        <w:ind w:firstLine="284"/>
        <w:jc w:val="both"/>
        <w:rPr>
          <w:rFonts w:cs="Abz-2 (Badr)" w:hint="cs"/>
          <w:color w:val="0070C0"/>
          <w:sz w:val="28"/>
          <w:szCs w:val="28"/>
          <w:rtl/>
        </w:rPr>
      </w:pPr>
      <w:r>
        <w:rPr>
          <w:rFonts w:cs="Abz-2 (Badr)" w:hint="cs"/>
          <w:color w:val="0070C0"/>
          <w:sz w:val="28"/>
          <w:szCs w:val="28"/>
          <w:rtl/>
        </w:rPr>
        <w:t>المراد بصدر الكلام ما هو متقدّم في الاعتبار، سواء قدّم في الذكر أو أُخّر، ولا يخفى أنّه لابدّ من اعتبار الشيء أوّلاً ثمّ إخراج البعض منه أو تعليقه وقصره على بعض التقادير.</w:t>
      </w:r>
    </w:p>
    <w:p w14:paraId="5E13CD17" w14:textId="77777777" w:rsidR="00BC039D" w:rsidRDefault="00BC039D" w:rsidP="00BC039D">
      <w:pPr>
        <w:widowControl w:val="0"/>
        <w:bidi/>
        <w:spacing w:before="240" w:line="252" w:lineRule="auto"/>
        <w:ind w:firstLine="284"/>
        <w:jc w:val="both"/>
        <w:rPr>
          <w:rFonts w:cs="Abz-2 (Badr)" w:hint="cs"/>
          <w:sz w:val="28"/>
          <w:szCs w:val="28"/>
          <w:rtl/>
        </w:rPr>
      </w:pPr>
      <w:r>
        <w:rPr>
          <w:rFonts w:cs="Abz-2 (Badr)" w:hint="cs"/>
          <w:color w:val="0070C0"/>
          <w:sz w:val="28"/>
          <w:szCs w:val="28"/>
          <w:rtl/>
        </w:rPr>
        <w:t>والمراد بالكلام الغير التامّ ما لا يفيد المعنى لو ذكر منفرداً، والجمل الوصفيّة والاستثناء بمثل «ليس زيداً» و«لا يكون زيداً» كذلك، لاحتياجها إلى مرجع الضمير.»</w:t>
      </w:r>
      <w:r>
        <w:rPr>
          <w:rStyle w:val="FootnoteReference"/>
          <w:rFonts w:cs="Abz-2 (Badr)"/>
          <w:sz w:val="28"/>
          <w:szCs w:val="28"/>
          <w:rtl/>
        </w:rPr>
        <w:footnoteReference w:id="3"/>
      </w:r>
    </w:p>
    <w:bookmarkEnd w:id="2"/>
    <w:p w14:paraId="38AFD6BA" w14:textId="77777777" w:rsidR="00BC039D" w:rsidRDefault="00BC039D" w:rsidP="00BC039D">
      <w:pPr>
        <w:widowControl w:val="0"/>
        <w:bidi/>
        <w:spacing w:before="240" w:line="252" w:lineRule="auto"/>
        <w:ind w:firstLine="284"/>
        <w:jc w:val="both"/>
        <w:rPr>
          <w:rFonts w:cs="2  Mitra" w:hint="cs"/>
          <w:color w:val="000000" w:themeColor="text1"/>
          <w:sz w:val="28"/>
          <w:szCs w:val="28"/>
          <w:rtl/>
        </w:rPr>
      </w:pPr>
      <w:r>
        <w:rPr>
          <w:rFonts w:cs="2  Mitra" w:hint="cs"/>
          <w:color w:val="000000" w:themeColor="text1"/>
          <w:sz w:val="28"/>
          <w:szCs w:val="28"/>
          <w:rtl/>
        </w:rPr>
        <w:t>تعبیر تفتازانی از تعبیر ايجی دقیق‌تر است؛ زیرا او بجای آن که مخصّص را به دو قسم مستقل و غیر مستقل تقسیم کند، چنین بیان می‌کند که تنگ‌کردن دایره</w:t>
      </w:r>
      <w:r>
        <w:rPr>
          <w:rFonts w:cs="2  Mitra" w:hint="cs"/>
          <w:color w:val="000000" w:themeColor="text1"/>
          <w:sz w:val="28"/>
          <w:szCs w:val="28"/>
          <w:rtl/>
        </w:rPr>
        <w:softHyphen/>
        <w:t>ی عام به‌گونه‌ای که تنها برخی از مصادیق آن را دربر گیرد، یا به وسیله</w:t>
      </w:r>
      <w:r>
        <w:rPr>
          <w:rFonts w:cs="2  Mitra" w:hint="cs"/>
          <w:color w:val="000000" w:themeColor="text1"/>
          <w:sz w:val="28"/>
          <w:szCs w:val="28"/>
          <w:rtl/>
        </w:rPr>
        <w:softHyphen/>
        <w:t>ی دلیلی غیر مستقل از عام صورت می‌پذیرد یا با دلیلی مستقل از آن. سپس می‌افزاید که هر دو قسم، نزد اصحاب شافعی، تخصیص به شمار می‌آیند، حال آن که اصحاب ابوحنیفه تنها قسم دوم را تخصیص می‌دانند.</w:t>
      </w:r>
    </w:p>
    <w:p w14:paraId="4CCD8293" w14:textId="77777777" w:rsidR="00BC039D" w:rsidRDefault="00BC039D" w:rsidP="00BC039D">
      <w:pPr>
        <w:widowControl w:val="0"/>
        <w:bidi/>
        <w:spacing w:before="240"/>
        <w:ind w:firstLine="284"/>
        <w:jc w:val="both"/>
        <w:rPr>
          <w:rFonts w:cs="2  Mitra" w:hint="cs"/>
          <w:color w:val="000000" w:themeColor="text1"/>
          <w:sz w:val="28"/>
          <w:szCs w:val="28"/>
          <w:rtl/>
        </w:rPr>
      </w:pPr>
      <w:r>
        <w:rPr>
          <w:rFonts w:cs="2  Mitra" w:hint="cs"/>
          <w:color w:val="000000" w:themeColor="text1"/>
          <w:sz w:val="28"/>
          <w:szCs w:val="28"/>
          <w:rtl/>
        </w:rPr>
        <w:t>در حقیقت آنچه موجب شده است اصحاب ابوحنیفه مخصّص متّصل را ـ بر پایه</w:t>
      </w:r>
      <w:r>
        <w:rPr>
          <w:rFonts w:cs="2  Mitra" w:hint="cs"/>
          <w:color w:val="000000" w:themeColor="text1"/>
          <w:sz w:val="28"/>
          <w:szCs w:val="28"/>
          <w:rtl/>
        </w:rPr>
        <w:softHyphen/>
        <w:t>ی آنچه که آن را از اقسام مخصص متصل به حساب آورده</w:t>
      </w:r>
      <w:r>
        <w:rPr>
          <w:rFonts w:cs="2  Mitra" w:hint="cs"/>
          <w:color w:val="000000" w:themeColor="text1"/>
          <w:sz w:val="28"/>
          <w:szCs w:val="28"/>
          <w:rtl/>
        </w:rPr>
        <w:softHyphen/>
        <w:t>اند ـ از اقسام مخصّص به شمار نیاورند، این نکته است که بنا بر آن تعریف، مخصّص منفصل در نوع موارد يا موجب اخراج فرد يا افرادی از تحت موضوع حکم می‌گردد، و يا اين که بدون اين که موضوع حکم دارای عموم باشد، آن حکم را مقيد به قيد می</w:t>
      </w:r>
      <w:r>
        <w:rPr>
          <w:rFonts w:cs="2  Mitra" w:hint="cs"/>
          <w:color w:val="000000" w:themeColor="text1"/>
          <w:sz w:val="28"/>
          <w:szCs w:val="28"/>
          <w:rtl/>
        </w:rPr>
        <w:softHyphen/>
        <w:t>سازد؛ در حالی که تخصیص در نزد آنان تنها سبب اخراج حکمیِ فرد يا افرادی از شمول دلیلی است که موضوع آن عموم دارد.</w:t>
      </w:r>
    </w:p>
    <w:p w14:paraId="0317158D" w14:textId="77777777" w:rsidR="00BC039D" w:rsidRDefault="00BC039D" w:rsidP="00BC039D">
      <w:pPr>
        <w:widowControl w:val="0"/>
        <w:bidi/>
        <w:spacing w:before="240"/>
        <w:ind w:firstLine="284"/>
        <w:jc w:val="both"/>
        <w:rPr>
          <w:rFonts w:cs="2  Mitra" w:hint="cs"/>
          <w:color w:val="000000" w:themeColor="text1"/>
          <w:sz w:val="28"/>
          <w:szCs w:val="28"/>
          <w:rtl/>
        </w:rPr>
      </w:pPr>
      <w:r>
        <w:rPr>
          <w:rFonts w:cs="2  Mitra" w:hint="cs"/>
          <w:color w:val="000000" w:themeColor="text1"/>
          <w:sz w:val="28"/>
          <w:szCs w:val="28"/>
          <w:rtl/>
        </w:rPr>
        <w:t>اما آنچه که ايجی در شرح خود بيان کرده است، بر اساس مبنای اصحاب شافعی است، زيرا ايجی از زمره آنان بوده است.</w:t>
      </w:r>
    </w:p>
    <w:p w14:paraId="27A27507" w14:textId="77777777" w:rsidR="00BC039D" w:rsidRDefault="00BC039D" w:rsidP="00BC039D">
      <w:pPr>
        <w:widowControl w:val="0"/>
        <w:bidi/>
        <w:spacing w:before="240"/>
        <w:ind w:firstLine="284"/>
        <w:jc w:val="both"/>
        <w:rPr>
          <w:rFonts w:cs="2  Mitra" w:hint="cs"/>
          <w:color w:val="000000" w:themeColor="text1"/>
          <w:sz w:val="28"/>
          <w:szCs w:val="28"/>
          <w:rtl/>
        </w:rPr>
      </w:pPr>
      <w:r>
        <w:rPr>
          <w:rFonts w:cs="2  Mitra" w:hint="cs"/>
          <w:color w:val="000000" w:themeColor="text1"/>
          <w:sz w:val="28"/>
          <w:szCs w:val="28"/>
          <w:rtl/>
        </w:rPr>
        <w:t>مرحوم ایروانی نيز در حاشيه خود بر کفایه تصریح کرده‌اند که مقصود از «مخصص متصل» و «مخصص منفصل»، اتصال و انفصال حسی نیست، بلکه منظور وحدت و تعدد جمله است. بنابر این اوصاف، قیود و بدل‌ها از سنخ مخصص متّصل هستند، اما جملاتی مانند «</w:t>
      </w:r>
      <w:r>
        <w:rPr>
          <w:rFonts w:cs="Abz-2 (Badr)" w:hint="cs"/>
          <w:color w:val="000000" w:themeColor="text1"/>
          <w:sz w:val="28"/>
          <w:szCs w:val="28"/>
          <w:rtl/>
        </w:rPr>
        <w:t>أكرم العلماء ولا تكرم زيداً</w:t>
      </w:r>
      <w:r>
        <w:rPr>
          <w:rFonts w:cs="2  Mitra" w:hint="cs"/>
          <w:color w:val="000000" w:themeColor="text1"/>
          <w:sz w:val="28"/>
          <w:szCs w:val="28"/>
          <w:rtl/>
        </w:rPr>
        <w:t>» یا حتّی استثناء، از سنخ مخصّص منفصل به شمار می‌آیند.</w:t>
      </w:r>
      <w:bookmarkStart w:id="3" w:name="_Hlk213929231"/>
      <w:r>
        <w:rPr>
          <w:rStyle w:val="FootnoteReference"/>
          <w:rFonts w:cs="2  Mitra"/>
          <w:rtl/>
        </w:rPr>
        <w:footnoteReference w:id="4"/>
      </w:r>
      <w:bookmarkEnd w:id="3"/>
    </w:p>
    <w:p w14:paraId="1E7046DE" w14:textId="77777777" w:rsidR="00BC039D" w:rsidRDefault="00BC039D" w:rsidP="00BC039D">
      <w:pPr>
        <w:widowControl w:val="0"/>
        <w:bidi/>
        <w:spacing w:before="240"/>
        <w:ind w:firstLine="284"/>
        <w:jc w:val="both"/>
        <w:rPr>
          <w:rFonts w:cs="2  Mitra" w:hint="cs"/>
          <w:color w:val="000000" w:themeColor="text1"/>
          <w:sz w:val="28"/>
          <w:szCs w:val="28"/>
          <w:rtl/>
        </w:rPr>
      </w:pPr>
      <w:r>
        <w:rPr>
          <w:rFonts w:cs="2  Mitra" w:hint="cs"/>
          <w:color w:val="000000" w:themeColor="text1"/>
          <w:sz w:val="28"/>
          <w:szCs w:val="28"/>
          <w:rtl/>
        </w:rPr>
        <w:lastRenderedPageBreak/>
        <w:t>بنابر اين برای بررسی مراد از مخصص متصل و منفصل، ابتدا بايد معنای تخصيص تبیین شود که جلسه آينده به آن خواهيم پرداخت ان شاء الله.</w:t>
      </w:r>
    </w:p>
    <w:p w14:paraId="545B7B67" w14:textId="77777777" w:rsidR="00BC039D" w:rsidRDefault="00BC039D" w:rsidP="00BC039D">
      <w:pPr>
        <w:rPr>
          <w:rFonts w:cs="2  Mitra" w:hint="cs"/>
          <w:color w:val="000000" w:themeColor="text1"/>
          <w:sz w:val="28"/>
          <w:szCs w:val="28"/>
          <w:rtl/>
        </w:rPr>
      </w:pPr>
      <w:r>
        <w:rPr>
          <w:rFonts w:cs="2  Mitra" w:hint="cs"/>
          <w:color w:val="000000" w:themeColor="text1"/>
          <w:sz w:val="28"/>
          <w:szCs w:val="28"/>
          <w:rtl/>
        </w:rPr>
        <w:br w:type="page"/>
      </w:r>
    </w:p>
    <w:p w14:paraId="549A0691" w14:textId="77777777" w:rsidR="00BC039D" w:rsidRDefault="00BC039D" w:rsidP="00BC039D">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lastRenderedPageBreak/>
        <w:t>تقدّم في صدر المسألة أنّ الآخوند فرّق بين المخصّص المتّصل والمخصّص المنفصل، فعدّ ورود الخاصّ على نحو الاتّصال غير داخل في باب التخصيص، بل موجباً لتضييق دائرة موضوع العامّ من الأصل.</w:t>
      </w:r>
    </w:p>
    <w:p w14:paraId="33FAD4F3" w14:textId="77777777" w:rsidR="00BC039D" w:rsidRDefault="00BC039D" w:rsidP="00BC039D">
      <w:pPr>
        <w:widowControl w:val="0"/>
        <w:bidi/>
        <w:spacing w:after="0"/>
        <w:ind w:firstLine="284"/>
        <w:jc w:val="both"/>
        <w:rPr>
          <w:rFonts w:cs="Abz-2 (Badr)"/>
          <w:color w:val="000000" w:themeColor="text1"/>
          <w:sz w:val="28"/>
          <w:szCs w:val="28"/>
        </w:rPr>
      </w:pPr>
      <w:r>
        <w:rPr>
          <w:rFonts w:cs="Abz-2 (Badr)" w:hint="cs"/>
          <w:color w:val="000000" w:themeColor="text1"/>
          <w:sz w:val="28"/>
          <w:szCs w:val="28"/>
          <w:rtl/>
        </w:rPr>
        <w:t>إلا أنّ هذا المدّعى غير قابل للالتزام ولا يظهر في هذا المجال فارق جوهري بين ورود الخاصّ متّصلاً ووروده منفصلاً.</w:t>
      </w:r>
    </w:p>
    <w:p w14:paraId="38C833D0" w14:textId="77777777" w:rsidR="00BC039D" w:rsidRDefault="00BC039D" w:rsidP="00BC039D">
      <w:pPr>
        <w:widowControl w:val="0"/>
        <w:bidi/>
        <w:spacing w:after="0"/>
        <w:ind w:firstLine="284"/>
        <w:jc w:val="both"/>
        <w:rPr>
          <w:rFonts w:cs="Abz-2 (Badr)"/>
          <w:color w:val="000000" w:themeColor="text1"/>
          <w:sz w:val="28"/>
          <w:szCs w:val="28"/>
        </w:rPr>
      </w:pPr>
      <w:r>
        <w:rPr>
          <w:rFonts w:cs="Abz-2 (Badr)" w:hint="cs"/>
          <w:color w:val="000000" w:themeColor="text1"/>
          <w:sz w:val="28"/>
          <w:szCs w:val="28"/>
          <w:rtl/>
        </w:rPr>
        <w:t>بيان ذلك: أنّ المدّعى عند الآخوند هو أنّه إذا ورد الخاصّ في دليل متّصل، كما لو قيل: «أكرم كلّ عالم إلا الفسّاق منهم»، فمفاده عنده بمنزلة قولنا: «أكرم كلّ عالم غير فاسق»، فيكون التقييد راجعاً إلى موضوع الحكم من البداية، من غير منافاة لوظيفة أدوات العموم؛ إذ ليس مفاد هذه الأدوات إلا استيعاب مدخولها لجميع أفراده، وأمّا شمول الحكم لغير تلك الأفراد فليس من مدلولها. وعليه فإذا كان المدخول مقيّداً من الأصل، انحصرت دلالة العموم بأفراد ذلك المدخول المقيّد.</w:t>
      </w:r>
    </w:p>
    <w:p w14:paraId="73787B9D" w14:textId="77777777" w:rsidR="00BC039D" w:rsidRDefault="00BC039D" w:rsidP="00BC039D">
      <w:pPr>
        <w:widowControl w:val="0"/>
        <w:bidi/>
        <w:spacing w:after="0"/>
        <w:ind w:firstLine="284"/>
        <w:jc w:val="both"/>
        <w:rPr>
          <w:rFonts w:cs="Abz-2 (Badr)"/>
          <w:color w:val="000000" w:themeColor="text1"/>
          <w:sz w:val="28"/>
          <w:szCs w:val="28"/>
        </w:rPr>
      </w:pPr>
      <w:r>
        <w:rPr>
          <w:rFonts w:cs="Abz-2 (Badr)" w:hint="cs"/>
          <w:color w:val="000000" w:themeColor="text1"/>
          <w:sz w:val="28"/>
          <w:szCs w:val="28"/>
          <w:rtl/>
        </w:rPr>
        <w:t>غير أنّ الإشكال في هذا المبنى أنّ مجرّد ورود الخاصّ في دليل متّصل لا يوجب تقييد مدخول أداة العموم حقيقة بحيث تنقلب «أكرم كلّ عالم» إلى «أكرم كلّ عالم غير فاسق»، بل غايته أنّنا من خلال ورود التخصيص نعلم أنّ المراد الجدّي للمتكلّم عدم شمول حكم العامّ للأفراد الذين تناولهم الدليل الخاصّ.</w:t>
      </w:r>
    </w:p>
    <w:p w14:paraId="702B3A0E" w14:textId="77777777" w:rsidR="00BC039D" w:rsidRDefault="00BC039D" w:rsidP="00BC039D">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وبناءً على ذلك لا يظهر وجه للتفصيل بين المخصّص المتّصل والمخصّص المنفصل من هذه الجهة، إذ كلاهما يؤدّيان إلى الكشف عن المراد الجدّي بعدم شمول حکم العامّ لتلك الأفراد. نعم، الفرق بينهما من حيث قوّة الظهور وضعفه، فإنّ الدلالة على هذا المعنى تكون في المخصّص المتّصل أقوى وأوضح.</w:t>
      </w:r>
    </w:p>
    <w:p w14:paraId="455F2D63" w14:textId="77777777" w:rsidR="00BC039D" w:rsidRDefault="00BC039D" w:rsidP="00BC039D">
      <w:pPr>
        <w:widowControl w:val="0"/>
        <w:bidi/>
        <w:spacing w:after="0"/>
        <w:ind w:firstLine="284"/>
        <w:jc w:val="both"/>
        <w:rPr>
          <w:rFonts w:cs="Abz-2 (Badr)"/>
          <w:color w:val="000000" w:themeColor="text1"/>
          <w:sz w:val="28"/>
          <w:szCs w:val="28"/>
        </w:rPr>
      </w:pPr>
      <w:r>
        <w:rPr>
          <w:rFonts w:cs="Abz-2 (Badr)" w:hint="cs"/>
          <w:color w:val="000000" w:themeColor="text1"/>
          <w:sz w:val="28"/>
          <w:szCs w:val="28"/>
          <w:rtl/>
        </w:rPr>
        <w:t>ولإيضاح هذا المطلب على نحو أدقّ، يحسن بنا أن نمهّد بذكر التعريف الذي ذكره الأُصوليّون للمخصّص المتّصل والمنفصل.</w:t>
      </w:r>
    </w:p>
    <w:p w14:paraId="6F5D0402" w14:textId="77777777" w:rsidR="00BC039D" w:rsidRDefault="00BC039D" w:rsidP="00BC039D">
      <w:pPr>
        <w:widowControl w:val="0"/>
        <w:bidi/>
        <w:spacing w:after="0"/>
        <w:ind w:firstLine="284"/>
        <w:jc w:val="both"/>
        <w:rPr>
          <w:rFonts w:cs="Abz-2 (Badr)" w:hint="cs"/>
          <w:color w:val="0070C0"/>
          <w:sz w:val="28"/>
          <w:szCs w:val="28"/>
          <w:rtl/>
        </w:rPr>
      </w:pPr>
      <w:r>
        <w:rPr>
          <w:rFonts w:cs="Abz-2 (Badr)" w:hint="cs"/>
          <w:color w:val="000000" w:themeColor="text1"/>
          <w:sz w:val="28"/>
          <w:szCs w:val="28"/>
          <w:rtl/>
        </w:rPr>
        <w:t xml:space="preserve">قال عضدالدين الإيجی في شرحه لمختصر ابن الحاجب: </w:t>
      </w:r>
      <w:r>
        <w:rPr>
          <w:rFonts w:cs="Abz-2 (Badr)" w:hint="cs"/>
          <w:color w:val="0070C0"/>
          <w:sz w:val="28"/>
          <w:szCs w:val="28"/>
          <w:rtl/>
        </w:rPr>
        <w:t>«المخصّص ينقسم إلى متّصل ومنفصل، لأنّه إمّا أن لا يستقلّ بنفسه أو يستقلّ؛ والأوّل المتّصل والثاني المنفصل.</w:t>
      </w:r>
    </w:p>
    <w:p w14:paraId="5E6FA0C8" w14:textId="77777777" w:rsidR="00BC039D" w:rsidRDefault="00BC039D" w:rsidP="00BC039D">
      <w:pPr>
        <w:widowControl w:val="0"/>
        <w:bidi/>
        <w:spacing w:after="0"/>
        <w:ind w:firstLine="284"/>
        <w:jc w:val="both"/>
        <w:rPr>
          <w:rFonts w:cs="Abz-2 (Badr)" w:hint="cs"/>
          <w:color w:val="0070C0"/>
          <w:sz w:val="28"/>
          <w:szCs w:val="28"/>
          <w:rtl/>
        </w:rPr>
      </w:pPr>
      <w:r>
        <w:rPr>
          <w:rFonts w:cs="Abz-2 (Badr)" w:hint="cs"/>
          <w:color w:val="0070C0"/>
          <w:sz w:val="28"/>
          <w:szCs w:val="28"/>
          <w:rtl/>
        </w:rPr>
        <w:t xml:space="preserve">والمخصّص المتّصل خمسة: أ ـ الاستثناء المتّصل...ب ـ </w:t>
      </w:r>
      <w:r>
        <w:rPr>
          <w:rFonts w:cs="Abz-2 (Badr)" w:hint="cs"/>
          <w:color w:val="0070C0"/>
          <w:sz w:val="28"/>
          <w:szCs w:val="28"/>
        </w:rPr>
        <w:t xml:space="preserve"> </w:t>
      </w:r>
      <w:r>
        <w:rPr>
          <w:rFonts w:cs="Abz-2 (Badr)" w:hint="cs"/>
          <w:color w:val="0070C0"/>
          <w:sz w:val="28"/>
          <w:szCs w:val="28"/>
          <w:rtl/>
        </w:rPr>
        <w:t>الشرط... ج ـ الصفة... د ـ الغاية... هـ ـ بدل البعض...</w:t>
      </w:r>
    </w:p>
    <w:p w14:paraId="7B7813C3" w14:textId="77777777" w:rsidR="00BC039D" w:rsidRDefault="00BC039D" w:rsidP="00BC039D">
      <w:pPr>
        <w:widowControl w:val="0"/>
        <w:bidi/>
        <w:spacing w:after="0"/>
        <w:ind w:firstLine="284"/>
        <w:jc w:val="both"/>
        <w:rPr>
          <w:rFonts w:cs="Abz-2 (Badr)" w:hint="cs"/>
          <w:sz w:val="28"/>
          <w:szCs w:val="28"/>
          <w:rtl/>
        </w:rPr>
      </w:pPr>
      <w:r>
        <w:rPr>
          <w:rFonts w:cs="Abz-2 (Badr)" w:hint="cs"/>
          <w:color w:val="0070C0"/>
          <w:sz w:val="28"/>
          <w:szCs w:val="28"/>
          <w:rtl/>
        </w:rPr>
        <w:t>وأنت تعلم أنّ منها ما يُخرج المذکور، کالاستثناء والغاية، ومنها ما يُخرج غير المذکور، کالشرط والصفة والبدل.»</w:t>
      </w:r>
      <w:r>
        <w:rPr>
          <w:rStyle w:val="FootnoteReference"/>
          <w:rFonts w:cs="Abz-2 (Badr)"/>
          <w:sz w:val="28"/>
          <w:szCs w:val="28"/>
          <w:rtl/>
        </w:rPr>
        <w:footnoteReference w:id="5"/>
      </w:r>
    </w:p>
    <w:p w14:paraId="489B0A63" w14:textId="77777777" w:rsidR="00BC039D" w:rsidRDefault="00BC039D" w:rsidP="00BC039D">
      <w:pPr>
        <w:widowControl w:val="0"/>
        <w:bidi/>
        <w:spacing w:after="0"/>
        <w:ind w:firstLine="284"/>
        <w:jc w:val="both"/>
        <w:rPr>
          <w:rFonts w:cs="Abz-2 (Badr)" w:hint="cs"/>
          <w:color w:val="0070C0"/>
          <w:sz w:val="28"/>
          <w:szCs w:val="28"/>
          <w:rtl/>
        </w:rPr>
      </w:pPr>
      <w:r>
        <w:rPr>
          <w:rFonts w:cs="Abz-2 (Badr)" w:hint="cs"/>
          <w:color w:val="000000" w:themeColor="text1"/>
          <w:sz w:val="28"/>
          <w:szCs w:val="28"/>
          <w:rtl/>
        </w:rPr>
        <w:t>وقال التفتازاني:</w:t>
      </w:r>
      <w:r>
        <w:rPr>
          <w:rFonts w:cs="Abz-2 (Badr)" w:hint="cs"/>
          <w:sz w:val="28"/>
          <w:szCs w:val="28"/>
          <w:rtl/>
        </w:rPr>
        <w:t xml:space="preserve"> </w:t>
      </w:r>
      <w:r>
        <w:rPr>
          <w:rFonts w:cs="Abz-2 (Badr)" w:hint="cs"/>
          <w:color w:val="0070C0"/>
          <w:sz w:val="28"/>
          <w:szCs w:val="28"/>
          <w:rtl/>
        </w:rPr>
        <w:t>«(فصل: قَصرُ العامّ على بعض ما تناوله لا يخلو من أن يكون بغير مستقلّ) أي: بكلام يتعلّق بصدر الكلام ولا يكون تامّاً بنفسه، والمستقلّ ما لا يكون كذلك، سواء كان كلاماً أو لم يكن.</w:t>
      </w:r>
    </w:p>
    <w:p w14:paraId="7EEA5D30" w14:textId="77777777" w:rsidR="00BC039D" w:rsidRDefault="00BC039D" w:rsidP="00BC039D">
      <w:pPr>
        <w:widowControl w:val="0"/>
        <w:bidi/>
        <w:spacing w:after="0"/>
        <w:ind w:firstLine="284"/>
        <w:jc w:val="both"/>
        <w:rPr>
          <w:rFonts w:cs="Abz-2 (Badr)" w:hint="cs"/>
          <w:color w:val="0070C0"/>
          <w:sz w:val="28"/>
          <w:szCs w:val="28"/>
          <w:rtl/>
        </w:rPr>
      </w:pPr>
      <w:r>
        <w:rPr>
          <w:rFonts w:cs="Abz-2 (Badr)" w:hint="cs"/>
          <w:color w:val="0070C0"/>
          <w:sz w:val="28"/>
          <w:szCs w:val="28"/>
          <w:rtl/>
        </w:rPr>
        <w:lastRenderedPageBreak/>
        <w:t>(وهو) أي: غير المستقلّ (الاستثناء والشرط والصفة والغاية)؛ فالاستثناء يوجب قصر العامّ على بعض أفراده، والشرط يوجب قصر صدر الكلام على بعض التقادير... والصفة توجب القصر على ما يوجد فيه الصفة... والغاية توجب القصر على البعض الذي جعل الغاية حدّاً له...</w:t>
      </w:r>
    </w:p>
    <w:p w14:paraId="000609DB" w14:textId="77777777" w:rsidR="00BC039D" w:rsidRDefault="00BC039D" w:rsidP="00BC039D">
      <w:pPr>
        <w:widowControl w:val="0"/>
        <w:bidi/>
        <w:spacing w:after="0"/>
        <w:ind w:firstLine="284"/>
        <w:jc w:val="both"/>
        <w:rPr>
          <w:rFonts w:cs="Abz-2 (Badr)" w:hint="cs"/>
          <w:color w:val="0070C0"/>
          <w:sz w:val="28"/>
          <w:szCs w:val="28"/>
          <w:rtl/>
        </w:rPr>
      </w:pPr>
      <w:r>
        <w:rPr>
          <w:rFonts w:cs="Abz-2 (Badr)" w:hint="cs"/>
          <w:color w:val="0070C0"/>
          <w:sz w:val="28"/>
          <w:szCs w:val="28"/>
          <w:rtl/>
        </w:rPr>
        <w:t>(أو بمستقلّ)...</w:t>
      </w:r>
    </w:p>
    <w:p w14:paraId="02B4BD27" w14:textId="77777777" w:rsidR="00BC039D" w:rsidRDefault="00BC039D" w:rsidP="00BC039D">
      <w:pPr>
        <w:widowControl w:val="0"/>
        <w:bidi/>
        <w:spacing w:after="0"/>
        <w:ind w:firstLine="284"/>
        <w:jc w:val="both"/>
        <w:rPr>
          <w:rFonts w:cs="Abz-2 (Badr)" w:hint="cs"/>
          <w:color w:val="0070C0"/>
          <w:sz w:val="28"/>
          <w:szCs w:val="28"/>
          <w:rtl/>
        </w:rPr>
      </w:pPr>
      <w:r>
        <w:rPr>
          <w:rFonts w:cs="Abz-2 (Badr)" w:hint="cs"/>
          <w:color w:val="0070C0"/>
          <w:sz w:val="28"/>
          <w:szCs w:val="28"/>
          <w:rtl/>
        </w:rPr>
        <w:t>قوله: (فصل قصر العامّ على بعض ما تناوله) تخصيص عند الشافعيّة.</w:t>
      </w:r>
    </w:p>
    <w:p w14:paraId="6AC9232F" w14:textId="77777777" w:rsidR="00BC039D" w:rsidRDefault="00BC039D" w:rsidP="00BC039D">
      <w:pPr>
        <w:widowControl w:val="0"/>
        <w:bidi/>
        <w:spacing w:after="0"/>
        <w:ind w:firstLine="284"/>
        <w:jc w:val="both"/>
        <w:rPr>
          <w:rFonts w:cs="Abz-2 (Badr)" w:hint="cs"/>
          <w:color w:val="0070C0"/>
          <w:sz w:val="28"/>
          <w:szCs w:val="28"/>
          <w:rtl/>
        </w:rPr>
      </w:pPr>
      <w:r>
        <w:rPr>
          <w:rFonts w:cs="Abz-2 (Badr)" w:hint="cs"/>
          <w:color w:val="0070C0"/>
          <w:sz w:val="28"/>
          <w:szCs w:val="28"/>
          <w:rtl/>
        </w:rPr>
        <w:t>وأمّا عند الحنفية ففيه تفصيل؛ وهو أنّه إمّا أن يكون بغير مستقلّ أو بمستقلّ، والأوّل ليس بتخصيص، بل إن كان بـ «إلّا» وأخواتها فالاستثناء، وإلا فإن كان بـ «إن» وما يؤدّي مؤدّاها فشرط، وإلا فإن كان بـ «إلى» وما يفيد معناها فغاية، وإلا فصفة... أو غيرها... فعلم أنّه لا ينحصر في الأربعة.</w:t>
      </w:r>
    </w:p>
    <w:p w14:paraId="4157BB67" w14:textId="77777777" w:rsidR="00BC039D" w:rsidRDefault="00BC039D" w:rsidP="00BC039D">
      <w:pPr>
        <w:widowControl w:val="0"/>
        <w:bidi/>
        <w:spacing w:after="0"/>
        <w:ind w:firstLine="284"/>
        <w:jc w:val="both"/>
        <w:rPr>
          <w:rFonts w:cs="Abz-2 (Badr)" w:hint="cs"/>
          <w:color w:val="0070C0"/>
          <w:sz w:val="28"/>
          <w:szCs w:val="28"/>
          <w:rtl/>
        </w:rPr>
      </w:pPr>
      <w:r>
        <w:rPr>
          <w:rFonts w:cs="Abz-2 (Badr)" w:hint="cs"/>
          <w:color w:val="0070C0"/>
          <w:sz w:val="28"/>
          <w:szCs w:val="28"/>
          <w:rtl/>
        </w:rPr>
        <w:t>والثاني هو التخصيص، سواء كان بدلالة اللفظ أو العقل أو الحسّ أو العادة أو نقصان بعض الأفراد أو زيادته.</w:t>
      </w:r>
    </w:p>
    <w:p w14:paraId="5DBD3376" w14:textId="77777777" w:rsidR="00BC039D" w:rsidRDefault="00BC039D" w:rsidP="00BC039D">
      <w:pPr>
        <w:widowControl w:val="0"/>
        <w:bidi/>
        <w:spacing w:after="0"/>
        <w:ind w:firstLine="284"/>
        <w:jc w:val="both"/>
        <w:rPr>
          <w:rFonts w:cs="Abz-2 (Badr)" w:hint="cs"/>
          <w:color w:val="0070C0"/>
          <w:sz w:val="28"/>
          <w:szCs w:val="28"/>
          <w:rtl/>
        </w:rPr>
      </w:pPr>
      <w:r>
        <w:rPr>
          <w:rFonts w:cs="Abz-2 (Badr)" w:hint="cs"/>
          <w:color w:val="0070C0"/>
          <w:sz w:val="28"/>
          <w:szCs w:val="28"/>
          <w:rtl/>
        </w:rPr>
        <w:t>وفسّر غير المستقلّ بكلام يتعلّق بصدر الكلام ولا يكون تامّاً بنفسه...</w:t>
      </w:r>
    </w:p>
    <w:p w14:paraId="3E6C15ED" w14:textId="77777777" w:rsidR="00BC039D" w:rsidRDefault="00BC039D" w:rsidP="00BC039D">
      <w:pPr>
        <w:widowControl w:val="0"/>
        <w:bidi/>
        <w:spacing w:after="0"/>
        <w:ind w:firstLine="284"/>
        <w:jc w:val="both"/>
        <w:rPr>
          <w:rFonts w:cs="Abz-2 (Badr)" w:hint="cs"/>
          <w:color w:val="0070C0"/>
          <w:sz w:val="28"/>
          <w:szCs w:val="28"/>
          <w:rtl/>
        </w:rPr>
      </w:pPr>
      <w:r>
        <w:rPr>
          <w:rFonts w:cs="Abz-2 (Badr)" w:hint="cs"/>
          <w:color w:val="0070C0"/>
          <w:sz w:val="28"/>
          <w:szCs w:val="28"/>
          <w:rtl/>
        </w:rPr>
        <w:t>المراد بصدر الكلام ما هو متقدّم في الاعتبار، سواء قدّم في الذكر أو أُخّر، ولا يخفى أنّه لابدّ من اعتبار الشيء أوّلاً ثمّ إخراج البعض منه أو تعليقه وقصره على بعض التقادير.</w:t>
      </w:r>
    </w:p>
    <w:p w14:paraId="5391F9B1" w14:textId="77777777" w:rsidR="00BC039D" w:rsidRDefault="00BC039D" w:rsidP="00BC039D">
      <w:pPr>
        <w:widowControl w:val="0"/>
        <w:bidi/>
        <w:spacing w:after="0"/>
        <w:ind w:firstLine="284"/>
        <w:jc w:val="both"/>
        <w:rPr>
          <w:rFonts w:cs="Abz-2 (Badr)" w:hint="cs"/>
          <w:color w:val="0070C0"/>
          <w:sz w:val="28"/>
          <w:szCs w:val="28"/>
          <w:rtl/>
        </w:rPr>
      </w:pPr>
      <w:r>
        <w:rPr>
          <w:rFonts w:cs="Abz-2 (Badr)" w:hint="cs"/>
          <w:color w:val="0070C0"/>
          <w:sz w:val="28"/>
          <w:szCs w:val="28"/>
          <w:rtl/>
        </w:rPr>
        <w:t>والمراد بالكلام الغير التامّ ما لا يفيد المعنى لو ذكر منفرداً، والجمل الوصفيّة والاستثناء بمثل «ليس زيداً» و«لا يكون زيداً» كذلك، لاحتياجها إلى مرجع الضمير.»</w:t>
      </w:r>
      <w:r>
        <w:rPr>
          <w:rStyle w:val="FootnoteReference"/>
          <w:rFonts w:cs="Abz-2 (Badr)"/>
          <w:sz w:val="28"/>
          <w:szCs w:val="28"/>
          <w:rtl/>
        </w:rPr>
        <w:footnoteReference w:id="6"/>
      </w:r>
    </w:p>
    <w:p w14:paraId="2224D7EA" w14:textId="77777777" w:rsidR="00BC039D" w:rsidRDefault="00BC039D" w:rsidP="00BC039D">
      <w:pPr>
        <w:widowControl w:val="0"/>
        <w:bidi/>
        <w:spacing w:after="0"/>
        <w:ind w:firstLine="284"/>
        <w:jc w:val="both"/>
        <w:rPr>
          <w:rFonts w:cs="Abz-2 (Badr)" w:hint="cs"/>
          <w:sz w:val="28"/>
          <w:szCs w:val="28"/>
          <w:rtl/>
        </w:rPr>
      </w:pPr>
      <w:r>
        <w:rPr>
          <w:rFonts w:cs="Abz-2 (Badr)" w:hint="cs"/>
          <w:b/>
          <w:bCs/>
          <w:sz w:val="28"/>
          <w:szCs w:val="28"/>
          <w:rtl/>
        </w:rPr>
        <w:t>أقول:</w:t>
      </w:r>
      <w:r>
        <w:rPr>
          <w:rFonts w:cs="Abz-2 (Badr)" w:hint="cs"/>
          <w:sz w:val="28"/>
          <w:szCs w:val="28"/>
          <w:rtl/>
        </w:rPr>
        <w:t xml:space="preserve"> إنّ تعبير التفتازاني أدقّ من تعبير الإيجي، لأنّه بدلاً من تقسيم المخصّص إلى مستقلّ وغير مستقلّ، يقرّر أنّ تضييق دائرة العامّ بحيث لا يشمل جميع مصاديقه إمّا أن يحصل بدليل غير مستقلّ عن العامّ أو بدليل مستقلّ عنه. ثمّ يضيف أنّ كلا القسمين معدود عند أصحاب الشافعي من باب التخصيص، بينما حصر أصحاب أبي حنيفة التخصيص في القسم الثاني فحسب.</w:t>
      </w:r>
    </w:p>
    <w:p w14:paraId="7A7BF2F6" w14:textId="77777777" w:rsidR="00BC039D" w:rsidRDefault="00BC039D" w:rsidP="00BC039D">
      <w:pPr>
        <w:widowControl w:val="0"/>
        <w:bidi/>
        <w:spacing w:after="0"/>
        <w:ind w:firstLine="284"/>
        <w:jc w:val="both"/>
        <w:rPr>
          <w:rFonts w:cs="Abz-2 (Badr)" w:hint="cs"/>
          <w:sz w:val="28"/>
          <w:szCs w:val="28"/>
          <w:rtl/>
        </w:rPr>
      </w:pPr>
      <w:r>
        <w:rPr>
          <w:rFonts w:cs="Abz-2 (Badr)" w:hint="cs"/>
          <w:sz w:val="28"/>
          <w:szCs w:val="28"/>
          <w:rtl/>
        </w:rPr>
        <w:t xml:space="preserve">ففي الحقيقة إنّ ما حمل أصحاب أبي حنيفة على عدم عدّ المخصّص المتّصل ـ وفقاً لما اعتبروه مندرجاً تحت أقسامه ـ من أقسام المخصّص، هو أنّ أثر المخصّص المنفصل بناءً علی ذلك ينحصر في أحد أمرين: إمّا إخراج فرد أو أفراد من </w:t>
      </w:r>
      <w:r>
        <w:rPr>
          <w:rFonts w:cs="Abz-2 (Badr)" w:hint="cs"/>
          <w:sz w:val="28"/>
          <w:szCs w:val="28"/>
          <w:rtl/>
        </w:rPr>
        <w:lastRenderedPageBreak/>
        <w:t>موضوع الحکم، وإمّا تقييد الحكم الوارد في الدليل بقيد من غير أن يكون لموضوعه عموم في نفسه.</w:t>
      </w:r>
    </w:p>
    <w:p w14:paraId="0024C819" w14:textId="77777777" w:rsidR="00BC039D" w:rsidRDefault="00BC039D" w:rsidP="00BC039D">
      <w:pPr>
        <w:widowControl w:val="0"/>
        <w:bidi/>
        <w:spacing w:after="0"/>
        <w:ind w:firstLine="284"/>
        <w:jc w:val="both"/>
        <w:rPr>
          <w:rFonts w:cs="Abz-2 (Badr)" w:hint="cs"/>
          <w:sz w:val="28"/>
          <w:szCs w:val="28"/>
          <w:rtl/>
        </w:rPr>
      </w:pPr>
      <w:r>
        <w:rPr>
          <w:rFonts w:cs="Abz-2 (Badr)" w:hint="cs"/>
          <w:sz w:val="28"/>
          <w:szCs w:val="28"/>
          <w:rtl/>
        </w:rPr>
        <w:t>غير أنّ التخصيص لا يكون ـ بحسب ضابطته لديهم ـ إلّا إخراج فرد أو أفراد من شمول حکم يكون موضوعه ذا عموم. ومن ثمّ رأوا أنّ ما كان على نحو الاتّصال لا يصدق عليه عنوان التخصيص، لعدم تحقّق الضابط المذكور فيه.</w:t>
      </w:r>
    </w:p>
    <w:p w14:paraId="1E1D1CF5" w14:textId="77777777" w:rsidR="00BC039D" w:rsidRDefault="00BC039D" w:rsidP="00BC039D">
      <w:pPr>
        <w:widowControl w:val="0"/>
        <w:bidi/>
        <w:spacing w:after="0"/>
        <w:ind w:firstLine="284"/>
        <w:jc w:val="both"/>
        <w:rPr>
          <w:rFonts w:cs="Abz-2 (Badr)"/>
          <w:sz w:val="28"/>
          <w:szCs w:val="28"/>
        </w:rPr>
      </w:pPr>
      <w:r>
        <w:rPr>
          <w:rFonts w:cs="Abz-2 (Badr)" w:hint="cs"/>
          <w:sz w:val="28"/>
          <w:szCs w:val="28"/>
          <w:rtl/>
        </w:rPr>
        <w:t>وأمّا ما ذكره الإيجي في شرحه فهو مبنيّ على ما تبنّاه أصحاب الشافعي، إذ كان هو من جملتهم.</w:t>
      </w:r>
    </w:p>
    <w:p w14:paraId="5DECAD7C" w14:textId="77777777" w:rsidR="00BC039D" w:rsidRDefault="00BC039D" w:rsidP="00BC039D">
      <w:pPr>
        <w:widowControl w:val="0"/>
        <w:bidi/>
        <w:spacing w:after="0"/>
        <w:ind w:firstLine="284"/>
        <w:jc w:val="both"/>
        <w:rPr>
          <w:rFonts w:cs="Abz-2 (Badr)" w:hint="cs"/>
          <w:sz w:val="28"/>
          <w:szCs w:val="28"/>
          <w:rtl/>
        </w:rPr>
      </w:pPr>
      <w:r>
        <w:rPr>
          <w:rFonts w:cs="Abz-2 (Badr)" w:hint="cs"/>
          <w:sz w:val="28"/>
          <w:szCs w:val="28"/>
          <w:rtl/>
        </w:rPr>
        <w:t>وقد صرّح المحقّق الإيرواني في حاشيته على الكفاية بأنّ المراد من «المخصّص المتّصل» و«المخصّص المنفصل» ليس هو الاتّصال والانفصال الحسّي، بل اتّحاد الجملة وتعدّدها. فبناءً على ذلك تكون القيود والبدل من سنخ المخصّص المتّصل، بينما تعدّ الجمل ـ كقوله: «أكرم العلماء ولا تكرم زيداً» ـ بل حتّى الاستثناء، من سنخ المخصّص المنفصل.</w:t>
      </w:r>
      <w:r>
        <w:rPr>
          <w:rStyle w:val="FootnoteReference"/>
          <w:rFonts w:cs="Abz-2 (Badr)"/>
          <w:sz w:val="28"/>
          <w:szCs w:val="28"/>
          <w:rtl/>
        </w:rPr>
        <w:footnoteReference w:id="7"/>
      </w:r>
    </w:p>
    <w:p w14:paraId="5BC8450A" w14:textId="77777777" w:rsidR="00BC039D" w:rsidRDefault="00BC039D" w:rsidP="00BC039D">
      <w:pPr>
        <w:widowControl w:val="0"/>
        <w:bidi/>
        <w:spacing w:after="0"/>
        <w:ind w:firstLine="284"/>
        <w:jc w:val="both"/>
        <w:rPr>
          <w:rFonts w:cs="Abz-2 (Badr)"/>
          <w:sz w:val="28"/>
          <w:szCs w:val="28"/>
        </w:rPr>
      </w:pPr>
      <w:r>
        <w:rPr>
          <w:rFonts w:cs="Abz-2 (Badr)" w:hint="cs"/>
          <w:sz w:val="28"/>
          <w:szCs w:val="28"/>
          <w:rtl/>
        </w:rPr>
        <w:t>وبناءً على ذلك فإنّ تحديد المراد من المخصّص المتّصل والمنفصل يتوقّف على تبيين معنى التخصيص أوّلاً وهو ما سنتعرّض له في الجلسة الآتية إن شاء الله تعالى.</w:t>
      </w:r>
    </w:p>
    <w:p w14:paraId="2D0D660D" w14:textId="77777777" w:rsidR="00BC039D" w:rsidRDefault="00BC039D" w:rsidP="00BC039D">
      <w:pPr>
        <w:widowControl w:val="0"/>
        <w:bidi/>
        <w:spacing w:after="0"/>
        <w:ind w:firstLine="284"/>
        <w:jc w:val="both"/>
        <w:rPr>
          <w:rFonts w:cs="Abz-2 (Badr)"/>
          <w:sz w:val="28"/>
          <w:szCs w:val="28"/>
        </w:rPr>
      </w:pPr>
    </w:p>
    <w:p w14:paraId="7D9979DE" w14:textId="26D41A3F" w:rsidR="001B24FC" w:rsidRPr="00BC039D" w:rsidRDefault="001B24FC" w:rsidP="00BC039D">
      <w:pPr>
        <w:rPr>
          <w:rtl/>
        </w:rPr>
      </w:pPr>
    </w:p>
    <w:sectPr w:rsidR="001B24FC" w:rsidRPr="00BC039D" w:rsidSect="008666ED">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87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BD826" w14:textId="77777777" w:rsidR="00D41793" w:rsidRDefault="00D41793" w:rsidP="00C336C5">
      <w:pPr>
        <w:spacing w:after="0" w:line="240" w:lineRule="auto"/>
      </w:pPr>
      <w:r>
        <w:separator/>
      </w:r>
    </w:p>
  </w:endnote>
  <w:endnote w:type="continuationSeparator" w:id="0">
    <w:p w14:paraId="3AD03F11" w14:textId="77777777" w:rsidR="00D41793" w:rsidRDefault="00D41793" w:rsidP="00C336C5">
      <w:pPr>
        <w:spacing w:after="0" w:line="240" w:lineRule="auto"/>
      </w:pPr>
      <w:r>
        <w:continuationSeparator/>
      </w:r>
    </w:p>
  </w:endnote>
  <w:endnote w:type="continuationNotice" w:id="1">
    <w:p w14:paraId="23A04937" w14:textId="77777777" w:rsidR="00D41793" w:rsidRDefault="00D417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0EFD2" w14:textId="77777777" w:rsidR="00C87AA4" w:rsidRDefault="00C87A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A3935" w14:textId="77777777" w:rsidR="00C87AA4" w:rsidRDefault="00C87A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52AEF" w14:textId="77777777" w:rsidR="00D41793" w:rsidRDefault="00D41793" w:rsidP="00C336C5">
      <w:pPr>
        <w:bidi/>
        <w:spacing w:after="0" w:line="240" w:lineRule="auto"/>
      </w:pPr>
      <w:r>
        <w:separator/>
      </w:r>
    </w:p>
  </w:footnote>
  <w:footnote w:type="continuationSeparator" w:id="0">
    <w:p w14:paraId="2DE5764E" w14:textId="77777777" w:rsidR="00D41793" w:rsidRDefault="00D41793" w:rsidP="00C336C5">
      <w:pPr>
        <w:spacing w:after="0" w:line="240" w:lineRule="auto"/>
      </w:pPr>
      <w:r>
        <w:continuationSeparator/>
      </w:r>
    </w:p>
  </w:footnote>
  <w:footnote w:type="continuationNotice" w:id="1">
    <w:p w14:paraId="0EF8A39B" w14:textId="77777777" w:rsidR="00D41793" w:rsidRDefault="00D41793">
      <w:pPr>
        <w:spacing w:after="0" w:line="240" w:lineRule="auto"/>
      </w:pPr>
    </w:p>
  </w:footnote>
  <w:footnote w:id="2">
    <w:p w14:paraId="7610DD42" w14:textId="77777777" w:rsidR="00BC039D" w:rsidRDefault="00BC039D" w:rsidP="00BC039D">
      <w:pPr>
        <w:pStyle w:val="FootnoteText"/>
        <w:bidi/>
        <w:jc w:val="both"/>
        <w:rPr>
          <w:rFonts w:cs="Abz-2 (Badr)"/>
          <w:lang w:bidi="fa-IR"/>
        </w:rPr>
      </w:pPr>
      <w:r>
        <w:rPr>
          <w:rStyle w:val="FootnoteReference"/>
          <w:rFonts w:cs="Abz-2 (Badr)"/>
        </w:rPr>
        <w:footnoteRef/>
      </w:r>
      <w:r>
        <w:rPr>
          <w:rFonts w:cs="Abz-2 (Badr)" w:hint="cs"/>
        </w:rPr>
        <w:t xml:space="preserve"> </w:t>
      </w:r>
      <w:r>
        <w:rPr>
          <w:rFonts w:cs="Abz-2 (Badr)" w:hint="cs"/>
          <w:rtl/>
        </w:rPr>
        <w:t>ـ شرح العضد،ص210 و 211.</w:t>
      </w:r>
    </w:p>
  </w:footnote>
  <w:footnote w:id="3">
    <w:p w14:paraId="00051355" w14:textId="77777777" w:rsidR="00BC039D" w:rsidRDefault="00BC039D" w:rsidP="00BC039D">
      <w:pPr>
        <w:pStyle w:val="FootnoteText"/>
        <w:bidi/>
        <w:jc w:val="both"/>
        <w:rPr>
          <w:rFonts w:cs="Abz-2 (Badr)" w:hint="cs"/>
          <w:rtl/>
          <w:lang w:bidi="fa-IR"/>
        </w:rPr>
      </w:pPr>
      <w:r>
        <w:rPr>
          <w:rStyle w:val="FootnoteReference"/>
          <w:rFonts w:cs="Abz-2 (Badr)"/>
        </w:rPr>
        <w:footnoteRef/>
      </w:r>
      <w:r>
        <w:rPr>
          <w:rFonts w:cs="Abz-2 (Badr)" w:hint="cs"/>
        </w:rPr>
        <w:t xml:space="preserve"> </w:t>
      </w:r>
      <w:r>
        <w:rPr>
          <w:rFonts w:cs="Abz-2 (Badr)" w:hint="cs"/>
          <w:rtl/>
        </w:rPr>
        <w:t xml:space="preserve">ـ </w:t>
      </w:r>
      <w:r>
        <w:rPr>
          <w:rFonts w:cs="Abz-2 (Badr)" w:hint="cs"/>
          <w:rtl/>
        </w:rPr>
        <w:t>التلويح علی التوضيح،ج1،ص76 و 77.</w:t>
      </w:r>
    </w:p>
  </w:footnote>
  <w:footnote w:id="4">
    <w:p w14:paraId="5DC35C26" w14:textId="77777777" w:rsidR="00BC039D" w:rsidRDefault="00BC039D" w:rsidP="00BC039D">
      <w:pPr>
        <w:pStyle w:val="FootnoteText"/>
        <w:bidi/>
        <w:jc w:val="both"/>
        <w:rPr>
          <w:rFonts w:cs="Abz-2 (Badr)" w:hint="cs"/>
          <w:rtl/>
          <w:lang w:bidi="fa-IR"/>
        </w:rPr>
      </w:pPr>
      <w:r>
        <w:rPr>
          <w:rFonts w:cs="Abz-2 (Badr)"/>
          <w:lang w:bidi="fa-IR"/>
        </w:rPr>
        <w:footnoteRef/>
      </w:r>
      <w:r>
        <w:rPr>
          <w:rFonts w:cs="Abz-2 (Badr)" w:hint="cs"/>
          <w:rtl/>
          <w:lang w:bidi="fa-IR"/>
        </w:rPr>
        <w:t xml:space="preserve"> </w:t>
      </w:r>
      <w:r>
        <w:rPr>
          <w:rFonts w:cs="Abz-2 (Badr)" w:hint="cs"/>
          <w:rtl/>
          <w:lang w:bidi="fa-IR"/>
        </w:rPr>
        <w:t>ـ راجع: نهاية النهاية،ج1،ص278.</w:t>
      </w:r>
    </w:p>
  </w:footnote>
  <w:footnote w:id="5">
    <w:p w14:paraId="2AB30775" w14:textId="77777777" w:rsidR="00BC039D" w:rsidRDefault="00BC039D" w:rsidP="00BC039D">
      <w:pPr>
        <w:pStyle w:val="FootnoteText"/>
        <w:bidi/>
        <w:jc w:val="both"/>
        <w:rPr>
          <w:rFonts w:cs="Abz-2 (Badr)" w:hint="cs"/>
          <w:rtl/>
          <w:lang w:bidi="fa-IR"/>
        </w:rPr>
      </w:pPr>
      <w:r>
        <w:rPr>
          <w:rStyle w:val="FootnoteReference"/>
          <w:rFonts w:cs="Abz-2 (Badr)"/>
        </w:rPr>
        <w:footnoteRef/>
      </w:r>
      <w:r>
        <w:rPr>
          <w:rFonts w:cs="Abz-2 (Badr)" w:hint="cs"/>
        </w:rPr>
        <w:t xml:space="preserve"> </w:t>
      </w:r>
      <w:r>
        <w:rPr>
          <w:rFonts w:cs="Abz-2 (Badr)" w:hint="cs"/>
          <w:rtl/>
        </w:rPr>
        <w:t>ـ شرح العضد،ص210 و 211.</w:t>
      </w:r>
    </w:p>
  </w:footnote>
  <w:footnote w:id="6">
    <w:p w14:paraId="3131D930" w14:textId="77777777" w:rsidR="00BC039D" w:rsidRDefault="00BC039D" w:rsidP="00BC039D">
      <w:pPr>
        <w:pStyle w:val="FootnoteText"/>
        <w:bidi/>
        <w:jc w:val="both"/>
        <w:rPr>
          <w:rFonts w:cs="Abz-2 (Badr)" w:hint="cs"/>
          <w:rtl/>
          <w:lang w:bidi="fa-IR"/>
        </w:rPr>
      </w:pPr>
      <w:r>
        <w:rPr>
          <w:rStyle w:val="FootnoteReference"/>
          <w:rFonts w:cs="Abz-2 (Badr)"/>
        </w:rPr>
        <w:footnoteRef/>
      </w:r>
      <w:r>
        <w:rPr>
          <w:rFonts w:cs="Abz-2 (Badr)" w:hint="cs"/>
        </w:rPr>
        <w:t xml:space="preserve"> </w:t>
      </w:r>
      <w:r>
        <w:rPr>
          <w:rFonts w:cs="Abz-2 (Badr)" w:hint="cs"/>
          <w:rtl/>
        </w:rPr>
        <w:t xml:space="preserve">ـ </w:t>
      </w:r>
      <w:r>
        <w:rPr>
          <w:rFonts w:cs="Abz-2 (Badr)" w:hint="cs"/>
          <w:rtl/>
        </w:rPr>
        <w:t>التلويح علی التوضيح،ج1،ص76 و 77.</w:t>
      </w:r>
    </w:p>
  </w:footnote>
  <w:footnote w:id="7">
    <w:p w14:paraId="6065DD6D" w14:textId="77777777" w:rsidR="00BC039D" w:rsidRDefault="00BC039D" w:rsidP="00BC039D">
      <w:pPr>
        <w:pStyle w:val="FootnoteText"/>
        <w:bidi/>
        <w:jc w:val="both"/>
        <w:rPr>
          <w:rFonts w:cs="Abz-2 (Badr)" w:hint="cs"/>
          <w:rtl/>
          <w:lang w:bidi="fa-IR"/>
        </w:rPr>
      </w:pPr>
      <w:r>
        <w:rPr>
          <w:rFonts w:cs="Abz-2 (Badr)"/>
          <w:lang w:bidi="fa-IR"/>
        </w:rPr>
        <w:footnoteRef/>
      </w:r>
      <w:r>
        <w:rPr>
          <w:rFonts w:cs="Abz-2 (Badr)" w:hint="cs"/>
          <w:rtl/>
          <w:lang w:bidi="fa-IR"/>
        </w:rPr>
        <w:t xml:space="preserve"> </w:t>
      </w:r>
      <w:r>
        <w:rPr>
          <w:rFonts w:cs="Abz-2 (Badr)" w:hint="cs"/>
          <w:rtl/>
          <w:lang w:bidi="fa-IR"/>
        </w:rPr>
        <w:t>ـ راجع: نهاية النهاية،ج1،ص278.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E1D38" w14:textId="77777777" w:rsidR="00C87AA4" w:rsidRDefault="00C87A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06B6" w14:textId="23AAAAE8" w:rsidR="008666ED" w:rsidRDefault="008666ED">
    <w:pPr>
      <w:pStyle w:val="Header"/>
    </w:pPr>
    <w:r>
      <w:rPr>
        <w:noProof/>
      </w:rPr>
      <mc:AlternateContent>
        <mc:Choice Requires="wps">
          <w:drawing>
            <wp:anchor distT="45720" distB="45720" distL="114300" distR="114300" simplePos="0" relativeHeight="251661312" behindDoc="0" locked="0" layoutInCell="1" allowOverlap="1" wp14:anchorId="656B4452" wp14:editId="011E38FF">
              <wp:simplePos x="0" y="0"/>
              <wp:positionH relativeFrom="column">
                <wp:posOffset>2080895</wp:posOffset>
              </wp:positionH>
              <wp:positionV relativeFrom="paragraph">
                <wp:posOffset>266700</wp:posOffset>
              </wp:positionV>
              <wp:extent cx="4284345" cy="147637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1476375"/>
                      </a:xfrm>
                      <a:prstGeom prst="rect">
                        <a:avLst/>
                      </a:prstGeom>
                      <a:solidFill>
                        <a:srgbClr val="FFFFFF"/>
                      </a:solidFill>
                      <a:ln w="9525">
                        <a:noFill/>
                        <a:miter lim="800000"/>
                        <a:headEnd/>
                        <a:tailEnd/>
                      </a:ln>
                    </wps:spPr>
                    <wps:txb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1B15F678"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9E2A08">
                            <w:rPr>
                              <w:rFonts w:cs="B Mehr" w:hint="cs"/>
                              <w:rtl/>
                              <w:lang w:bidi="fa-IR"/>
                            </w:rPr>
                            <w:t xml:space="preserve"> </w:t>
                          </w:r>
                          <w:r w:rsidR="00014576">
                            <w:rPr>
                              <w:rFonts w:cs="B Mehr" w:hint="cs"/>
                              <w:rtl/>
                              <w:lang w:bidi="fa-IR"/>
                            </w:rPr>
                            <w:t xml:space="preserve">  </w:t>
                          </w:r>
                          <w:r w:rsidR="00BC039D">
                            <w:rPr>
                              <w:rFonts w:cs="B Mehr" w:hint="cs"/>
                              <w:rtl/>
                              <w:lang w:bidi="fa-IR"/>
                            </w:rPr>
                            <w:t>دو</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BC039D">
                            <w:rPr>
                              <w:rFonts w:cs="B Mehr" w:hint="cs"/>
                              <w:rtl/>
                              <w:lang w:bidi="fa-IR"/>
                            </w:rPr>
                            <w:t>26</w:t>
                          </w:r>
                          <w:r w:rsidR="0094174A">
                            <w:rPr>
                              <w:rFonts w:cs="B Mehr" w:hint="cs"/>
                              <w:rtl/>
                              <w:lang w:bidi="fa-IR"/>
                            </w:rPr>
                            <w:t xml:space="preserve">   </w:t>
                          </w:r>
                          <w:r w:rsidR="0081472C">
                            <w:rPr>
                              <w:rFonts w:cs="B Mehr" w:hint="cs"/>
                              <w:rtl/>
                              <w:lang w:bidi="fa-IR"/>
                            </w:rPr>
                            <w:t>آبان</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B4452" id="_x0000_t202" coordsize="21600,21600" o:spt="202" path="m,l,21600r21600,l21600,xe">
              <v:stroke joinstyle="miter"/>
              <v:path gradientshapeok="t" o:connecttype="rect"/>
            </v:shapetype>
            <v:shape id="Text Box 2" o:spid="_x0000_s1026" type="#_x0000_t202" style="position:absolute;margin-left:163.85pt;margin-top:21pt;width:337.35pt;height:11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" stroked="f">
              <v:textbo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1B15F678"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9E2A08">
                      <w:rPr>
                        <w:rFonts w:cs="B Mehr" w:hint="cs"/>
                        <w:rtl/>
                        <w:lang w:bidi="fa-IR"/>
                      </w:rPr>
                      <w:t xml:space="preserve"> </w:t>
                    </w:r>
                    <w:r w:rsidR="00014576">
                      <w:rPr>
                        <w:rFonts w:cs="B Mehr" w:hint="cs"/>
                        <w:rtl/>
                        <w:lang w:bidi="fa-IR"/>
                      </w:rPr>
                      <w:t xml:space="preserve">  </w:t>
                    </w:r>
                    <w:r w:rsidR="00BC039D">
                      <w:rPr>
                        <w:rFonts w:cs="B Mehr" w:hint="cs"/>
                        <w:rtl/>
                        <w:lang w:bidi="fa-IR"/>
                      </w:rPr>
                      <w:t>دو</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BC039D">
                      <w:rPr>
                        <w:rFonts w:cs="B Mehr" w:hint="cs"/>
                        <w:rtl/>
                        <w:lang w:bidi="fa-IR"/>
                      </w:rPr>
                      <w:t>26</w:t>
                    </w:r>
                    <w:r w:rsidR="0094174A">
                      <w:rPr>
                        <w:rFonts w:cs="B Mehr" w:hint="cs"/>
                        <w:rtl/>
                        <w:lang w:bidi="fa-IR"/>
                      </w:rPr>
                      <w:t xml:space="preserve">   </w:t>
                    </w:r>
                    <w:r w:rsidR="0081472C">
                      <w:rPr>
                        <w:rFonts w:cs="B Mehr" w:hint="cs"/>
                        <w:rtl/>
                        <w:lang w:bidi="fa-IR"/>
                      </w:rPr>
                      <w:t>آبان</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BA0C3F3" wp14:editId="218A05B0">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FCD07" w14:textId="77777777" w:rsidR="00C87AA4" w:rsidRDefault="00C87AA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4576"/>
    <w:rsid w:val="000154F3"/>
    <w:rsid w:val="00015B20"/>
    <w:rsid w:val="00016488"/>
    <w:rsid w:val="0001702B"/>
    <w:rsid w:val="0001799F"/>
    <w:rsid w:val="0002119A"/>
    <w:rsid w:val="00021628"/>
    <w:rsid w:val="00021DD7"/>
    <w:rsid w:val="0002236E"/>
    <w:rsid w:val="0002472C"/>
    <w:rsid w:val="00024A9F"/>
    <w:rsid w:val="000254C3"/>
    <w:rsid w:val="000263FD"/>
    <w:rsid w:val="00026E5C"/>
    <w:rsid w:val="000271B0"/>
    <w:rsid w:val="00027801"/>
    <w:rsid w:val="00027A3B"/>
    <w:rsid w:val="0003068F"/>
    <w:rsid w:val="00030CC3"/>
    <w:rsid w:val="00030F06"/>
    <w:rsid w:val="000331CD"/>
    <w:rsid w:val="00034331"/>
    <w:rsid w:val="00034B51"/>
    <w:rsid w:val="00034E65"/>
    <w:rsid w:val="00036217"/>
    <w:rsid w:val="00036B77"/>
    <w:rsid w:val="000402D8"/>
    <w:rsid w:val="0004094D"/>
    <w:rsid w:val="00041614"/>
    <w:rsid w:val="00041953"/>
    <w:rsid w:val="000425AB"/>
    <w:rsid w:val="0004284B"/>
    <w:rsid w:val="000429F8"/>
    <w:rsid w:val="0004332D"/>
    <w:rsid w:val="00044AF5"/>
    <w:rsid w:val="00045819"/>
    <w:rsid w:val="00045897"/>
    <w:rsid w:val="000458F9"/>
    <w:rsid w:val="00045E06"/>
    <w:rsid w:val="0004627F"/>
    <w:rsid w:val="00046829"/>
    <w:rsid w:val="000509AB"/>
    <w:rsid w:val="00050FFD"/>
    <w:rsid w:val="00051007"/>
    <w:rsid w:val="00051D65"/>
    <w:rsid w:val="00051DA2"/>
    <w:rsid w:val="00054B8B"/>
    <w:rsid w:val="000555E5"/>
    <w:rsid w:val="000559DF"/>
    <w:rsid w:val="00056817"/>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32C7"/>
    <w:rsid w:val="000A4458"/>
    <w:rsid w:val="000A48CB"/>
    <w:rsid w:val="000A4B14"/>
    <w:rsid w:val="000A6670"/>
    <w:rsid w:val="000A7CD7"/>
    <w:rsid w:val="000B089D"/>
    <w:rsid w:val="000B0FE5"/>
    <w:rsid w:val="000B21AF"/>
    <w:rsid w:val="000B3B20"/>
    <w:rsid w:val="000B45F3"/>
    <w:rsid w:val="000B4680"/>
    <w:rsid w:val="000B6C43"/>
    <w:rsid w:val="000B7220"/>
    <w:rsid w:val="000B766D"/>
    <w:rsid w:val="000B76C7"/>
    <w:rsid w:val="000B7AE1"/>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26D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2D3"/>
    <w:rsid w:val="0010639C"/>
    <w:rsid w:val="00106F00"/>
    <w:rsid w:val="001079E6"/>
    <w:rsid w:val="00111B9D"/>
    <w:rsid w:val="001121BE"/>
    <w:rsid w:val="00112338"/>
    <w:rsid w:val="00112E25"/>
    <w:rsid w:val="00113458"/>
    <w:rsid w:val="00113932"/>
    <w:rsid w:val="00113BC3"/>
    <w:rsid w:val="0011633F"/>
    <w:rsid w:val="00116DCD"/>
    <w:rsid w:val="00116DF7"/>
    <w:rsid w:val="00116FA9"/>
    <w:rsid w:val="00120694"/>
    <w:rsid w:val="0012137D"/>
    <w:rsid w:val="001227F2"/>
    <w:rsid w:val="00122C40"/>
    <w:rsid w:val="00123FAA"/>
    <w:rsid w:val="00125A9D"/>
    <w:rsid w:val="00125C91"/>
    <w:rsid w:val="00126016"/>
    <w:rsid w:val="001262DF"/>
    <w:rsid w:val="00126732"/>
    <w:rsid w:val="0013020B"/>
    <w:rsid w:val="0013025B"/>
    <w:rsid w:val="0013086C"/>
    <w:rsid w:val="00132299"/>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3E6"/>
    <w:rsid w:val="001554B6"/>
    <w:rsid w:val="0015569E"/>
    <w:rsid w:val="001556F1"/>
    <w:rsid w:val="00157BB0"/>
    <w:rsid w:val="0016176E"/>
    <w:rsid w:val="0016185C"/>
    <w:rsid w:val="0016195C"/>
    <w:rsid w:val="00161E7A"/>
    <w:rsid w:val="00161FF7"/>
    <w:rsid w:val="00163582"/>
    <w:rsid w:val="00164F38"/>
    <w:rsid w:val="0016580C"/>
    <w:rsid w:val="00166D53"/>
    <w:rsid w:val="00170B2C"/>
    <w:rsid w:val="001712CF"/>
    <w:rsid w:val="00171C29"/>
    <w:rsid w:val="001724FF"/>
    <w:rsid w:val="0017407D"/>
    <w:rsid w:val="00177AF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1984"/>
    <w:rsid w:val="001A2538"/>
    <w:rsid w:val="001A2FAC"/>
    <w:rsid w:val="001A431B"/>
    <w:rsid w:val="001A44AE"/>
    <w:rsid w:val="001A51F2"/>
    <w:rsid w:val="001A5BAA"/>
    <w:rsid w:val="001A5D0A"/>
    <w:rsid w:val="001A74DA"/>
    <w:rsid w:val="001B105A"/>
    <w:rsid w:val="001B24FC"/>
    <w:rsid w:val="001B286E"/>
    <w:rsid w:val="001B2F63"/>
    <w:rsid w:val="001B34BE"/>
    <w:rsid w:val="001B36BA"/>
    <w:rsid w:val="001B38B4"/>
    <w:rsid w:val="001B3C8A"/>
    <w:rsid w:val="001B4B44"/>
    <w:rsid w:val="001B5931"/>
    <w:rsid w:val="001C08B9"/>
    <w:rsid w:val="001C0C54"/>
    <w:rsid w:val="001C271B"/>
    <w:rsid w:val="001C4B75"/>
    <w:rsid w:val="001C5C75"/>
    <w:rsid w:val="001C6753"/>
    <w:rsid w:val="001C7741"/>
    <w:rsid w:val="001C7E18"/>
    <w:rsid w:val="001C7E66"/>
    <w:rsid w:val="001D02D6"/>
    <w:rsid w:val="001D037F"/>
    <w:rsid w:val="001D1E8F"/>
    <w:rsid w:val="001D3812"/>
    <w:rsid w:val="001D3BB9"/>
    <w:rsid w:val="001D3D04"/>
    <w:rsid w:val="001D441D"/>
    <w:rsid w:val="001D46D2"/>
    <w:rsid w:val="001D48B3"/>
    <w:rsid w:val="001D4966"/>
    <w:rsid w:val="001D4E2E"/>
    <w:rsid w:val="001D52DD"/>
    <w:rsid w:val="001D59D0"/>
    <w:rsid w:val="001D643D"/>
    <w:rsid w:val="001D6F2F"/>
    <w:rsid w:val="001D7AEE"/>
    <w:rsid w:val="001E13E9"/>
    <w:rsid w:val="001E17B1"/>
    <w:rsid w:val="001E2A07"/>
    <w:rsid w:val="001E471E"/>
    <w:rsid w:val="001E5645"/>
    <w:rsid w:val="001E6B79"/>
    <w:rsid w:val="001E6C64"/>
    <w:rsid w:val="001E70EC"/>
    <w:rsid w:val="001E72F2"/>
    <w:rsid w:val="001E7404"/>
    <w:rsid w:val="001F112F"/>
    <w:rsid w:val="001F12F0"/>
    <w:rsid w:val="001F1B86"/>
    <w:rsid w:val="001F1D8C"/>
    <w:rsid w:val="001F292B"/>
    <w:rsid w:val="001F3580"/>
    <w:rsid w:val="001F3879"/>
    <w:rsid w:val="001F40F2"/>
    <w:rsid w:val="001F43C1"/>
    <w:rsid w:val="001F4576"/>
    <w:rsid w:val="001F462D"/>
    <w:rsid w:val="001F5B97"/>
    <w:rsid w:val="001F6B82"/>
    <w:rsid w:val="001F6F30"/>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70B"/>
    <w:rsid w:val="00213D02"/>
    <w:rsid w:val="002144BB"/>
    <w:rsid w:val="00214C24"/>
    <w:rsid w:val="002158FB"/>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36B6"/>
    <w:rsid w:val="00234A42"/>
    <w:rsid w:val="00236B1F"/>
    <w:rsid w:val="002375F8"/>
    <w:rsid w:val="00241A87"/>
    <w:rsid w:val="002422BE"/>
    <w:rsid w:val="00242D33"/>
    <w:rsid w:val="00245CD7"/>
    <w:rsid w:val="002505E2"/>
    <w:rsid w:val="0025120A"/>
    <w:rsid w:val="00251D75"/>
    <w:rsid w:val="0025360C"/>
    <w:rsid w:val="00253F4B"/>
    <w:rsid w:val="002547DD"/>
    <w:rsid w:val="002548CF"/>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67459"/>
    <w:rsid w:val="0027043D"/>
    <w:rsid w:val="00271022"/>
    <w:rsid w:val="0027112F"/>
    <w:rsid w:val="00272EC0"/>
    <w:rsid w:val="002758ED"/>
    <w:rsid w:val="002763EE"/>
    <w:rsid w:val="00277B71"/>
    <w:rsid w:val="0028266C"/>
    <w:rsid w:val="00282F65"/>
    <w:rsid w:val="0028333D"/>
    <w:rsid w:val="00283354"/>
    <w:rsid w:val="00285D69"/>
    <w:rsid w:val="00287AC9"/>
    <w:rsid w:val="00291172"/>
    <w:rsid w:val="00293064"/>
    <w:rsid w:val="00293F26"/>
    <w:rsid w:val="00294B7B"/>
    <w:rsid w:val="00295DE5"/>
    <w:rsid w:val="002964DD"/>
    <w:rsid w:val="00297A69"/>
    <w:rsid w:val="002A0C88"/>
    <w:rsid w:val="002A0E7B"/>
    <w:rsid w:val="002A161D"/>
    <w:rsid w:val="002A19C3"/>
    <w:rsid w:val="002A330F"/>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B70A4"/>
    <w:rsid w:val="002C069A"/>
    <w:rsid w:val="002C30A4"/>
    <w:rsid w:val="002C4A0A"/>
    <w:rsid w:val="002C55DC"/>
    <w:rsid w:val="002C66AA"/>
    <w:rsid w:val="002C6D4F"/>
    <w:rsid w:val="002C6FF9"/>
    <w:rsid w:val="002C76EF"/>
    <w:rsid w:val="002D1688"/>
    <w:rsid w:val="002D1A86"/>
    <w:rsid w:val="002D3163"/>
    <w:rsid w:val="002D4493"/>
    <w:rsid w:val="002D5A82"/>
    <w:rsid w:val="002D66CD"/>
    <w:rsid w:val="002D688D"/>
    <w:rsid w:val="002E0167"/>
    <w:rsid w:val="002E0803"/>
    <w:rsid w:val="002E11CF"/>
    <w:rsid w:val="002E228B"/>
    <w:rsid w:val="002E514A"/>
    <w:rsid w:val="002E5DFD"/>
    <w:rsid w:val="002E6148"/>
    <w:rsid w:val="002E6DCF"/>
    <w:rsid w:val="002E7556"/>
    <w:rsid w:val="002F16B4"/>
    <w:rsid w:val="002F208D"/>
    <w:rsid w:val="002F2BA5"/>
    <w:rsid w:val="002F6968"/>
    <w:rsid w:val="002F6A19"/>
    <w:rsid w:val="002F7E25"/>
    <w:rsid w:val="00301919"/>
    <w:rsid w:val="00301FFA"/>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3BD0"/>
    <w:rsid w:val="00333FFD"/>
    <w:rsid w:val="00334A62"/>
    <w:rsid w:val="003350D4"/>
    <w:rsid w:val="00335481"/>
    <w:rsid w:val="00335B9F"/>
    <w:rsid w:val="00335D52"/>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D5"/>
    <w:rsid w:val="003B12F2"/>
    <w:rsid w:val="003B238B"/>
    <w:rsid w:val="003B3287"/>
    <w:rsid w:val="003B4141"/>
    <w:rsid w:val="003B41DD"/>
    <w:rsid w:val="003B4617"/>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2C9"/>
    <w:rsid w:val="003F440F"/>
    <w:rsid w:val="003F4E57"/>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3D82"/>
    <w:rsid w:val="00435FD2"/>
    <w:rsid w:val="004362FB"/>
    <w:rsid w:val="00441952"/>
    <w:rsid w:val="00441EED"/>
    <w:rsid w:val="00442199"/>
    <w:rsid w:val="0044303D"/>
    <w:rsid w:val="004435C8"/>
    <w:rsid w:val="0044394E"/>
    <w:rsid w:val="0044440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393B"/>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00A1"/>
    <w:rsid w:val="004B0CD0"/>
    <w:rsid w:val="004B1D5B"/>
    <w:rsid w:val="004B20CA"/>
    <w:rsid w:val="004B2E67"/>
    <w:rsid w:val="004B3C1F"/>
    <w:rsid w:val="004B3E69"/>
    <w:rsid w:val="004B5396"/>
    <w:rsid w:val="004B5FA4"/>
    <w:rsid w:val="004B626D"/>
    <w:rsid w:val="004B7981"/>
    <w:rsid w:val="004C15B1"/>
    <w:rsid w:val="004C358E"/>
    <w:rsid w:val="004C3ED6"/>
    <w:rsid w:val="004C5E0C"/>
    <w:rsid w:val="004C69B2"/>
    <w:rsid w:val="004C75E6"/>
    <w:rsid w:val="004D07D0"/>
    <w:rsid w:val="004D0AFB"/>
    <w:rsid w:val="004D1F23"/>
    <w:rsid w:val="004D2107"/>
    <w:rsid w:val="004D4221"/>
    <w:rsid w:val="004D5471"/>
    <w:rsid w:val="004D708B"/>
    <w:rsid w:val="004D72B0"/>
    <w:rsid w:val="004D7CED"/>
    <w:rsid w:val="004D7DC2"/>
    <w:rsid w:val="004E02CB"/>
    <w:rsid w:val="004E105A"/>
    <w:rsid w:val="004E1D63"/>
    <w:rsid w:val="004E1EA0"/>
    <w:rsid w:val="004E2639"/>
    <w:rsid w:val="004E44E4"/>
    <w:rsid w:val="004E45F8"/>
    <w:rsid w:val="004E54E2"/>
    <w:rsid w:val="004E5A1C"/>
    <w:rsid w:val="004E63E6"/>
    <w:rsid w:val="004E686F"/>
    <w:rsid w:val="004E6B0F"/>
    <w:rsid w:val="004E78A0"/>
    <w:rsid w:val="004E7D89"/>
    <w:rsid w:val="004F485A"/>
    <w:rsid w:val="004F4D6A"/>
    <w:rsid w:val="004F5169"/>
    <w:rsid w:val="004F5240"/>
    <w:rsid w:val="004F573B"/>
    <w:rsid w:val="004F6223"/>
    <w:rsid w:val="004F6E25"/>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1C7"/>
    <w:rsid w:val="0054151B"/>
    <w:rsid w:val="00542296"/>
    <w:rsid w:val="005436AD"/>
    <w:rsid w:val="00546131"/>
    <w:rsid w:val="005516A1"/>
    <w:rsid w:val="005532D8"/>
    <w:rsid w:val="00554102"/>
    <w:rsid w:val="00554633"/>
    <w:rsid w:val="0055473F"/>
    <w:rsid w:val="00554D5D"/>
    <w:rsid w:val="005559FF"/>
    <w:rsid w:val="005562F7"/>
    <w:rsid w:val="005565F7"/>
    <w:rsid w:val="00557447"/>
    <w:rsid w:val="00561A9E"/>
    <w:rsid w:val="00562309"/>
    <w:rsid w:val="005624E2"/>
    <w:rsid w:val="00563C96"/>
    <w:rsid w:val="0056417C"/>
    <w:rsid w:val="0056582C"/>
    <w:rsid w:val="00565C43"/>
    <w:rsid w:val="00567E87"/>
    <w:rsid w:val="005708D5"/>
    <w:rsid w:val="00572BBD"/>
    <w:rsid w:val="00573336"/>
    <w:rsid w:val="00574B3D"/>
    <w:rsid w:val="00574D6B"/>
    <w:rsid w:val="00575923"/>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4D8"/>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2C"/>
    <w:rsid w:val="005A4AF1"/>
    <w:rsid w:val="005A5144"/>
    <w:rsid w:val="005A58C5"/>
    <w:rsid w:val="005A5BF3"/>
    <w:rsid w:val="005A7053"/>
    <w:rsid w:val="005B0309"/>
    <w:rsid w:val="005B09EB"/>
    <w:rsid w:val="005B0A3C"/>
    <w:rsid w:val="005B312D"/>
    <w:rsid w:val="005B3143"/>
    <w:rsid w:val="005B4678"/>
    <w:rsid w:val="005B5780"/>
    <w:rsid w:val="005B5AF7"/>
    <w:rsid w:val="005B646F"/>
    <w:rsid w:val="005B6748"/>
    <w:rsid w:val="005B72A2"/>
    <w:rsid w:val="005B7871"/>
    <w:rsid w:val="005C0513"/>
    <w:rsid w:val="005C0D92"/>
    <w:rsid w:val="005C43B0"/>
    <w:rsid w:val="005C4967"/>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9C5"/>
    <w:rsid w:val="005E4AA4"/>
    <w:rsid w:val="005E4AAD"/>
    <w:rsid w:val="005E507E"/>
    <w:rsid w:val="005E51FE"/>
    <w:rsid w:val="005E65AE"/>
    <w:rsid w:val="005F1144"/>
    <w:rsid w:val="005F181E"/>
    <w:rsid w:val="005F2800"/>
    <w:rsid w:val="005F2F9B"/>
    <w:rsid w:val="005F4E42"/>
    <w:rsid w:val="005F4E8C"/>
    <w:rsid w:val="00601FC0"/>
    <w:rsid w:val="0060554C"/>
    <w:rsid w:val="00605AB2"/>
    <w:rsid w:val="00606A21"/>
    <w:rsid w:val="00607277"/>
    <w:rsid w:val="006106FA"/>
    <w:rsid w:val="00610E57"/>
    <w:rsid w:val="00610F89"/>
    <w:rsid w:val="00610FC7"/>
    <w:rsid w:val="006116C5"/>
    <w:rsid w:val="00614BC7"/>
    <w:rsid w:val="006171EC"/>
    <w:rsid w:val="00617C4E"/>
    <w:rsid w:val="00621579"/>
    <w:rsid w:val="00621C0D"/>
    <w:rsid w:val="00621C4D"/>
    <w:rsid w:val="00623BDC"/>
    <w:rsid w:val="00623EF1"/>
    <w:rsid w:val="006253E7"/>
    <w:rsid w:val="006269B5"/>
    <w:rsid w:val="00626A6F"/>
    <w:rsid w:val="0063119B"/>
    <w:rsid w:val="00632A9A"/>
    <w:rsid w:val="00632EAD"/>
    <w:rsid w:val="006331B1"/>
    <w:rsid w:val="00633326"/>
    <w:rsid w:val="0063477F"/>
    <w:rsid w:val="00634E28"/>
    <w:rsid w:val="00636995"/>
    <w:rsid w:val="006410EE"/>
    <w:rsid w:val="006429D1"/>
    <w:rsid w:val="00642B17"/>
    <w:rsid w:val="00642EBC"/>
    <w:rsid w:val="00643E04"/>
    <w:rsid w:val="00643F5E"/>
    <w:rsid w:val="00644098"/>
    <w:rsid w:val="00644309"/>
    <w:rsid w:val="00644A76"/>
    <w:rsid w:val="0064582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76A"/>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806"/>
    <w:rsid w:val="00697907"/>
    <w:rsid w:val="006A0081"/>
    <w:rsid w:val="006A0FFF"/>
    <w:rsid w:val="006A1030"/>
    <w:rsid w:val="006A166A"/>
    <w:rsid w:val="006A28AC"/>
    <w:rsid w:val="006A2B88"/>
    <w:rsid w:val="006A2EAB"/>
    <w:rsid w:val="006A329A"/>
    <w:rsid w:val="006A55ED"/>
    <w:rsid w:val="006A59E2"/>
    <w:rsid w:val="006A5A11"/>
    <w:rsid w:val="006A6406"/>
    <w:rsid w:val="006A693E"/>
    <w:rsid w:val="006A7CB7"/>
    <w:rsid w:val="006B0BB2"/>
    <w:rsid w:val="006B2E41"/>
    <w:rsid w:val="006B3EB4"/>
    <w:rsid w:val="006B4BFF"/>
    <w:rsid w:val="006B4F4C"/>
    <w:rsid w:val="006B52E0"/>
    <w:rsid w:val="006B6619"/>
    <w:rsid w:val="006B6674"/>
    <w:rsid w:val="006B6AA8"/>
    <w:rsid w:val="006B6DBB"/>
    <w:rsid w:val="006B6E7B"/>
    <w:rsid w:val="006B7EBE"/>
    <w:rsid w:val="006C31C2"/>
    <w:rsid w:val="006C3CDC"/>
    <w:rsid w:val="006C45F8"/>
    <w:rsid w:val="006C58BA"/>
    <w:rsid w:val="006C6E85"/>
    <w:rsid w:val="006C7689"/>
    <w:rsid w:val="006C7BE2"/>
    <w:rsid w:val="006D3C11"/>
    <w:rsid w:val="006D3D84"/>
    <w:rsid w:val="006D49A3"/>
    <w:rsid w:val="006E0D07"/>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0FD5"/>
    <w:rsid w:val="00721CF5"/>
    <w:rsid w:val="007236FC"/>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0DB"/>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1A25"/>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A1C"/>
    <w:rsid w:val="00787CFF"/>
    <w:rsid w:val="00787F61"/>
    <w:rsid w:val="0079221C"/>
    <w:rsid w:val="007933E2"/>
    <w:rsid w:val="00793418"/>
    <w:rsid w:val="0079350C"/>
    <w:rsid w:val="00794FA0"/>
    <w:rsid w:val="007959CF"/>
    <w:rsid w:val="00796F33"/>
    <w:rsid w:val="007973E5"/>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2DAA"/>
    <w:rsid w:val="007C439D"/>
    <w:rsid w:val="007C4585"/>
    <w:rsid w:val="007C7B38"/>
    <w:rsid w:val="007C7E27"/>
    <w:rsid w:val="007D03DD"/>
    <w:rsid w:val="007D2D09"/>
    <w:rsid w:val="007D2D23"/>
    <w:rsid w:val="007D4DEF"/>
    <w:rsid w:val="007D5B8E"/>
    <w:rsid w:val="007E01FF"/>
    <w:rsid w:val="007E0880"/>
    <w:rsid w:val="007E25D9"/>
    <w:rsid w:val="007E40A8"/>
    <w:rsid w:val="007E7D09"/>
    <w:rsid w:val="007F0461"/>
    <w:rsid w:val="007F0B15"/>
    <w:rsid w:val="007F0FD0"/>
    <w:rsid w:val="007F1036"/>
    <w:rsid w:val="007F3BA2"/>
    <w:rsid w:val="007F5F81"/>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3759"/>
    <w:rsid w:val="008145C4"/>
    <w:rsid w:val="0081472C"/>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989"/>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3987"/>
    <w:rsid w:val="008544EC"/>
    <w:rsid w:val="0085509F"/>
    <w:rsid w:val="008551F5"/>
    <w:rsid w:val="0085677D"/>
    <w:rsid w:val="00856787"/>
    <w:rsid w:val="00857F59"/>
    <w:rsid w:val="008601BD"/>
    <w:rsid w:val="0086151B"/>
    <w:rsid w:val="008618D7"/>
    <w:rsid w:val="00862486"/>
    <w:rsid w:val="00863995"/>
    <w:rsid w:val="00863C08"/>
    <w:rsid w:val="00865BF3"/>
    <w:rsid w:val="008666ED"/>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21A5"/>
    <w:rsid w:val="008A2239"/>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B6947"/>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2FA"/>
    <w:rsid w:val="008F67E5"/>
    <w:rsid w:val="008F74A4"/>
    <w:rsid w:val="008F7B3D"/>
    <w:rsid w:val="00900975"/>
    <w:rsid w:val="00900BC6"/>
    <w:rsid w:val="00900CF6"/>
    <w:rsid w:val="0090611D"/>
    <w:rsid w:val="0090647A"/>
    <w:rsid w:val="009067C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689E"/>
    <w:rsid w:val="0092724E"/>
    <w:rsid w:val="009273DF"/>
    <w:rsid w:val="0092770E"/>
    <w:rsid w:val="00927C55"/>
    <w:rsid w:val="00927E11"/>
    <w:rsid w:val="00930C46"/>
    <w:rsid w:val="00931CA1"/>
    <w:rsid w:val="009326ED"/>
    <w:rsid w:val="009332F5"/>
    <w:rsid w:val="00934C50"/>
    <w:rsid w:val="0093521C"/>
    <w:rsid w:val="009353A8"/>
    <w:rsid w:val="009410BE"/>
    <w:rsid w:val="009415B0"/>
    <w:rsid w:val="0094174A"/>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28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D42"/>
    <w:rsid w:val="00995F9B"/>
    <w:rsid w:val="009963A4"/>
    <w:rsid w:val="009A0748"/>
    <w:rsid w:val="009A15E0"/>
    <w:rsid w:val="009A207B"/>
    <w:rsid w:val="009A3FF1"/>
    <w:rsid w:val="009A432A"/>
    <w:rsid w:val="009A6419"/>
    <w:rsid w:val="009A6DF1"/>
    <w:rsid w:val="009A7F23"/>
    <w:rsid w:val="009B1512"/>
    <w:rsid w:val="009B203F"/>
    <w:rsid w:val="009B39F8"/>
    <w:rsid w:val="009B4343"/>
    <w:rsid w:val="009B6C3B"/>
    <w:rsid w:val="009B71D6"/>
    <w:rsid w:val="009B7AB4"/>
    <w:rsid w:val="009C18F4"/>
    <w:rsid w:val="009C21CF"/>
    <w:rsid w:val="009C3CC6"/>
    <w:rsid w:val="009C5091"/>
    <w:rsid w:val="009C5436"/>
    <w:rsid w:val="009C72BA"/>
    <w:rsid w:val="009D025D"/>
    <w:rsid w:val="009D1967"/>
    <w:rsid w:val="009D1DAB"/>
    <w:rsid w:val="009D28F2"/>
    <w:rsid w:val="009D364C"/>
    <w:rsid w:val="009D45AE"/>
    <w:rsid w:val="009D5552"/>
    <w:rsid w:val="009D56C8"/>
    <w:rsid w:val="009D6708"/>
    <w:rsid w:val="009E0535"/>
    <w:rsid w:val="009E235B"/>
    <w:rsid w:val="009E2A08"/>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54D"/>
    <w:rsid w:val="00A10849"/>
    <w:rsid w:val="00A11D5F"/>
    <w:rsid w:val="00A12B9C"/>
    <w:rsid w:val="00A132F2"/>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3B4A"/>
    <w:rsid w:val="00A34E6F"/>
    <w:rsid w:val="00A36E93"/>
    <w:rsid w:val="00A37EF5"/>
    <w:rsid w:val="00A42906"/>
    <w:rsid w:val="00A42B68"/>
    <w:rsid w:val="00A4381E"/>
    <w:rsid w:val="00A43AD0"/>
    <w:rsid w:val="00A43E98"/>
    <w:rsid w:val="00A44099"/>
    <w:rsid w:val="00A44142"/>
    <w:rsid w:val="00A442D9"/>
    <w:rsid w:val="00A45BEC"/>
    <w:rsid w:val="00A47494"/>
    <w:rsid w:val="00A47653"/>
    <w:rsid w:val="00A47B52"/>
    <w:rsid w:val="00A5007E"/>
    <w:rsid w:val="00A5035B"/>
    <w:rsid w:val="00A50AF5"/>
    <w:rsid w:val="00A517E5"/>
    <w:rsid w:val="00A52F02"/>
    <w:rsid w:val="00A54BF8"/>
    <w:rsid w:val="00A55AAA"/>
    <w:rsid w:val="00A55F4E"/>
    <w:rsid w:val="00A56423"/>
    <w:rsid w:val="00A565CC"/>
    <w:rsid w:val="00A5730C"/>
    <w:rsid w:val="00A5767E"/>
    <w:rsid w:val="00A6058F"/>
    <w:rsid w:val="00A60FDB"/>
    <w:rsid w:val="00A619DD"/>
    <w:rsid w:val="00A61FF9"/>
    <w:rsid w:val="00A620BB"/>
    <w:rsid w:val="00A6362E"/>
    <w:rsid w:val="00A6614D"/>
    <w:rsid w:val="00A66D49"/>
    <w:rsid w:val="00A7048A"/>
    <w:rsid w:val="00A7456B"/>
    <w:rsid w:val="00A7460F"/>
    <w:rsid w:val="00A74E28"/>
    <w:rsid w:val="00A7579E"/>
    <w:rsid w:val="00A75A0A"/>
    <w:rsid w:val="00A7702C"/>
    <w:rsid w:val="00A77E2E"/>
    <w:rsid w:val="00A800A9"/>
    <w:rsid w:val="00A80101"/>
    <w:rsid w:val="00A81F3D"/>
    <w:rsid w:val="00A82913"/>
    <w:rsid w:val="00A829A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1757"/>
    <w:rsid w:val="00AB23C4"/>
    <w:rsid w:val="00AB2837"/>
    <w:rsid w:val="00AB4475"/>
    <w:rsid w:val="00AB4703"/>
    <w:rsid w:val="00AB4F0C"/>
    <w:rsid w:val="00AB4F10"/>
    <w:rsid w:val="00AB68FE"/>
    <w:rsid w:val="00AC2512"/>
    <w:rsid w:val="00AC314E"/>
    <w:rsid w:val="00AC4DAE"/>
    <w:rsid w:val="00AC5474"/>
    <w:rsid w:val="00AC7EC9"/>
    <w:rsid w:val="00AD0E33"/>
    <w:rsid w:val="00AD115A"/>
    <w:rsid w:val="00AD197E"/>
    <w:rsid w:val="00AD1D34"/>
    <w:rsid w:val="00AD1EBF"/>
    <w:rsid w:val="00AD1F78"/>
    <w:rsid w:val="00AD213B"/>
    <w:rsid w:val="00AD6601"/>
    <w:rsid w:val="00AD7938"/>
    <w:rsid w:val="00AD79F8"/>
    <w:rsid w:val="00AD7EE9"/>
    <w:rsid w:val="00AE012B"/>
    <w:rsid w:val="00AE0E95"/>
    <w:rsid w:val="00AE10FA"/>
    <w:rsid w:val="00AE1A44"/>
    <w:rsid w:val="00AE23E2"/>
    <w:rsid w:val="00AE2455"/>
    <w:rsid w:val="00AE39AE"/>
    <w:rsid w:val="00AE3B55"/>
    <w:rsid w:val="00AE40AE"/>
    <w:rsid w:val="00AE4542"/>
    <w:rsid w:val="00AE4939"/>
    <w:rsid w:val="00AE5F7F"/>
    <w:rsid w:val="00AF1201"/>
    <w:rsid w:val="00AF1402"/>
    <w:rsid w:val="00AF1947"/>
    <w:rsid w:val="00AF196A"/>
    <w:rsid w:val="00AF366E"/>
    <w:rsid w:val="00AF3911"/>
    <w:rsid w:val="00AF3C8D"/>
    <w:rsid w:val="00AF3EFE"/>
    <w:rsid w:val="00AF4D7A"/>
    <w:rsid w:val="00AF5586"/>
    <w:rsid w:val="00AF61CA"/>
    <w:rsid w:val="00AF67DE"/>
    <w:rsid w:val="00AF7D12"/>
    <w:rsid w:val="00B016A2"/>
    <w:rsid w:val="00B01790"/>
    <w:rsid w:val="00B01CDA"/>
    <w:rsid w:val="00B0264A"/>
    <w:rsid w:val="00B03295"/>
    <w:rsid w:val="00B04DC2"/>
    <w:rsid w:val="00B04DFB"/>
    <w:rsid w:val="00B05C05"/>
    <w:rsid w:val="00B06BD6"/>
    <w:rsid w:val="00B07F33"/>
    <w:rsid w:val="00B10162"/>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3D61"/>
    <w:rsid w:val="00B245C0"/>
    <w:rsid w:val="00B257BC"/>
    <w:rsid w:val="00B2630B"/>
    <w:rsid w:val="00B26479"/>
    <w:rsid w:val="00B26C06"/>
    <w:rsid w:val="00B27663"/>
    <w:rsid w:val="00B311D1"/>
    <w:rsid w:val="00B32468"/>
    <w:rsid w:val="00B337E4"/>
    <w:rsid w:val="00B33930"/>
    <w:rsid w:val="00B33CD5"/>
    <w:rsid w:val="00B3401A"/>
    <w:rsid w:val="00B340EF"/>
    <w:rsid w:val="00B34E54"/>
    <w:rsid w:val="00B35B2A"/>
    <w:rsid w:val="00B36981"/>
    <w:rsid w:val="00B36EF7"/>
    <w:rsid w:val="00B37DA3"/>
    <w:rsid w:val="00B37EC6"/>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4767"/>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2D"/>
    <w:rsid w:val="00BA1874"/>
    <w:rsid w:val="00BA1D5B"/>
    <w:rsid w:val="00BA1E6D"/>
    <w:rsid w:val="00BA4162"/>
    <w:rsid w:val="00BA476B"/>
    <w:rsid w:val="00BA4D9E"/>
    <w:rsid w:val="00BA4E50"/>
    <w:rsid w:val="00BA526B"/>
    <w:rsid w:val="00BA5B9D"/>
    <w:rsid w:val="00BA6140"/>
    <w:rsid w:val="00BA6365"/>
    <w:rsid w:val="00BB0208"/>
    <w:rsid w:val="00BB067C"/>
    <w:rsid w:val="00BB14FB"/>
    <w:rsid w:val="00BB178A"/>
    <w:rsid w:val="00BB1D16"/>
    <w:rsid w:val="00BB3789"/>
    <w:rsid w:val="00BB7931"/>
    <w:rsid w:val="00BC039D"/>
    <w:rsid w:val="00BC1F65"/>
    <w:rsid w:val="00BC2A2E"/>
    <w:rsid w:val="00BC2FF6"/>
    <w:rsid w:val="00BC3866"/>
    <w:rsid w:val="00BC45D2"/>
    <w:rsid w:val="00BC5490"/>
    <w:rsid w:val="00BC59AA"/>
    <w:rsid w:val="00BC65C0"/>
    <w:rsid w:val="00BD0B4D"/>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618"/>
    <w:rsid w:val="00C03E4E"/>
    <w:rsid w:val="00C04A24"/>
    <w:rsid w:val="00C05DD6"/>
    <w:rsid w:val="00C05FF4"/>
    <w:rsid w:val="00C06493"/>
    <w:rsid w:val="00C06553"/>
    <w:rsid w:val="00C06C3E"/>
    <w:rsid w:val="00C0714A"/>
    <w:rsid w:val="00C07CBE"/>
    <w:rsid w:val="00C10D7C"/>
    <w:rsid w:val="00C126F8"/>
    <w:rsid w:val="00C12BA5"/>
    <w:rsid w:val="00C12D45"/>
    <w:rsid w:val="00C14427"/>
    <w:rsid w:val="00C14A29"/>
    <w:rsid w:val="00C15A63"/>
    <w:rsid w:val="00C16AF1"/>
    <w:rsid w:val="00C16CA2"/>
    <w:rsid w:val="00C1788F"/>
    <w:rsid w:val="00C20B39"/>
    <w:rsid w:val="00C216D5"/>
    <w:rsid w:val="00C2327B"/>
    <w:rsid w:val="00C24DA9"/>
    <w:rsid w:val="00C25D87"/>
    <w:rsid w:val="00C25F15"/>
    <w:rsid w:val="00C278AB"/>
    <w:rsid w:val="00C27AEE"/>
    <w:rsid w:val="00C27DB1"/>
    <w:rsid w:val="00C306C5"/>
    <w:rsid w:val="00C31A58"/>
    <w:rsid w:val="00C3215E"/>
    <w:rsid w:val="00C3220C"/>
    <w:rsid w:val="00C32743"/>
    <w:rsid w:val="00C33166"/>
    <w:rsid w:val="00C3322B"/>
    <w:rsid w:val="00C336C5"/>
    <w:rsid w:val="00C33CF6"/>
    <w:rsid w:val="00C356BC"/>
    <w:rsid w:val="00C35D43"/>
    <w:rsid w:val="00C3609A"/>
    <w:rsid w:val="00C361EE"/>
    <w:rsid w:val="00C3715D"/>
    <w:rsid w:val="00C372AE"/>
    <w:rsid w:val="00C40A45"/>
    <w:rsid w:val="00C41C59"/>
    <w:rsid w:val="00C43243"/>
    <w:rsid w:val="00C43569"/>
    <w:rsid w:val="00C43A83"/>
    <w:rsid w:val="00C4584F"/>
    <w:rsid w:val="00C47DA3"/>
    <w:rsid w:val="00C50A1E"/>
    <w:rsid w:val="00C51707"/>
    <w:rsid w:val="00C5345B"/>
    <w:rsid w:val="00C5399B"/>
    <w:rsid w:val="00C542FC"/>
    <w:rsid w:val="00C55C30"/>
    <w:rsid w:val="00C5651B"/>
    <w:rsid w:val="00C56AF7"/>
    <w:rsid w:val="00C57895"/>
    <w:rsid w:val="00C60774"/>
    <w:rsid w:val="00C60DC9"/>
    <w:rsid w:val="00C611CC"/>
    <w:rsid w:val="00C61217"/>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87AA4"/>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0D4"/>
    <w:rsid w:val="00CB1492"/>
    <w:rsid w:val="00CB1F79"/>
    <w:rsid w:val="00CB3872"/>
    <w:rsid w:val="00CB3B11"/>
    <w:rsid w:val="00CB4418"/>
    <w:rsid w:val="00CB461D"/>
    <w:rsid w:val="00CB6434"/>
    <w:rsid w:val="00CB67E9"/>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CF3A01"/>
    <w:rsid w:val="00D00CF5"/>
    <w:rsid w:val="00D014D5"/>
    <w:rsid w:val="00D0254E"/>
    <w:rsid w:val="00D03319"/>
    <w:rsid w:val="00D03DD1"/>
    <w:rsid w:val="00D03DFC"/>
    <w:rsid w:val="00D03E44"/>
    <w:rsid w:val="00D1077D"/>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2AF4"/>
    <w:rsid w:val="00D33B1A"/>
    <w:rsid w:val="00D3581F"/>
    <w:rsid w:val="00D35BF7"/>
    <w:rsid w:val="00D36A6F"/>
    <w:rsid w:val="00D36E44"/>
    <w:rsid w:val="00D37116"/>
    <w:rsid w:val="00D37DEF"/>
    <w:rsid w:val="00D40A33"/>
    <w:rsid w:val="00D4157B"/>
    <w:rsid w:val="00D41793"/>
    <w:rsid w:val="00D42A43"/>
    <w:rsid w:val="00D4330F"/>
    <w:rsid w:val="00D43782"/>
    <w:rsid w:val="00D45030"/>
    <w:rsid w:val="00D45E3D"/>
    <w:rsid w:val="00D46586"/>
    <w:rsid w:val="00D46E44"/>
    <w:rsid w:val="00D50642"/>
    <w:rsid w:val="00D50657"/>
    <w:rsid w:val="00D53171"/>
    <w:rsid w:val="00D532E6"/>
    <w:rsid w:val="00D53BAC"/>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1484"/>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2E20"/>
    <w:rsid w:val="00D946A9"/>
    <w:rsid w:val="00D95B6A"/>
    <w:rsid w:val="00D961EF"/>
    <w:rsid w:val="00D9715F"/>
    <w:rsid w:val="00DA2240"/>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0E40"/>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0972"/>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2915"/>
    <w:rsid w:val="00E4372E"/>
    <w:rsid w:val="00E44902"/>
    <w:rsid w:val="00E4492A"/>
    <w:rsid w:val="00E4497C"/>
    <w:rsid w:val="00E45A7D"/>
    <w:rsid w:val="00E45D9C"/>
    <w:rsid w:val="00E4673A"/>
    <w:rsid w:val="00E46BEC"/>
    <w:rsid w:val="00E46F9E"/>
    <w:rsid w:val="00E52D7D"/>
    <w:rsid w:val="00E52EF9"/>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3F9"/>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0B7E"/>
    <w:rsid w:val="00EB211D"/>
    <w:rsid w:val="00EB4165"/>
    <w:rsid w:val="00EB52A7"/>
    <w:rsid w:val="00EB7314"/>
    <w:rsid w:val="00EC0F44"/>
    <w:rsid w:val="00EC11FF"/>
    <w:rsid w:val="00EC171C"/>
    <w:rsid w:val="00EC21E6"/>
    <w:rsid w:val="00EC29CC"/>
    <w:rsid w:val="00EC5A6F"/>
    <w:rsid w:val="00EC6593"/>
    <w:rsid w:val="00ED0D81"/>
    <w:rsid w:val="00ED2055"/>
    <w:rsid w:val="00ED3F31"/>
    <w:rsid w:val="00ED4B17"/>
    <w:rsid w:val="00ED5224"/>
    <w:rsid w:val="00EE01F5"/>
    <w:rsid w:val="00EE176A"/>
    <w:rsid w:val="00EE1F9B"/>
    <w:rsid w:val="00EE20A4"/>
    <w:rsid w:val="00EE38A9"/>
    <w:rsid w:val="00EE3F02"/>
    <w:rsid w:val="00EE5CAF"/>
    <w:rsid w:val="00EE616D"/>
    <w:rsid w:val="00EE758A"/>
    <w:rsid w:val="00EF102F"/>
    <w:rsid w:val="00EF174A"/>
    <w:rsid w:val="00EF3646"/>
    <w:rsid w:val="00EF450B"/>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1DE8"/>
    <w:rsid w:val="00F52755"/>
    <w:rsid w:val="00F52B5B"/>
    <w:rsid w:val="00F53984"/>
    <w:rsid w:val="00F54ADB"/>
    <w:rsid w:val="00F55959"/>
    <w:rsid w:val="00F56531"/>
    <w:rsid w:val="00F566BD"/>
    <w:rsid w:val="00F5714B"/>
    <w:rsid w:val="00F605CC"/>
    <w:rsid w:val="00F60776"/>
    <w:rsid w:val="00F607C8"/>
    <w:rsid w:val="00F61BEC"/>
    <w:rsid w:val="00F623F8"/>
    <w:rsid w:val="00F62A63"/>
    <w:rsid w:val="00F6385F"/>
    <w:rsid w:val="00F64BD2"/>
    <w:rsid w:val="00F64C49"/>
    <w:rsid w:val="00F658C8"/>
    <w:rsid w:val="00F659F4"/>
    <w:rsid w:val="00F700E6"/>
    <w:rsid w:val="00F70E24"/>
    <w:rsid w:val="00F727B6"/>
    <w:rsid w:val="00F7477D"/>
    <w:rsid w:val="00F74F40"/>
    <w:rsid w:val="00F75F05"/>
    <w:rsid w:val="00F76787"/>
    <w:rsid w:val="00F81152"/>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0D2"/>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43BD"/>
    <w:rsid w:val="00FE4AC1"/>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6330">
      <w:bodyDiv w:val="1"/>
      <w:marLeft w:val="0"/>
      <w:marRight w:val="0"/>
      <w:marTop w:val="0"/>
      <w:marBottom w:val="0"/>
      <w:divBdr>
        <w:top w:val="none" w:sz="0" w:space="0" w:color="auto"/>
        <w:left w:val="none" w:sz="0" w:space="0" w:color="auto"/>
        <w:bottom w:val="none" w:sz="0" w:space="0" w:color="auto"/>
        <w:right w:val="none" w:sz="0" w:space="0" w:color="auto"/>
      </w:divBdr>
    </w:div>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87040689">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194467414">
      <w:bodyDiv w:val="1"/>
      <w:marLeft w:val="0"/>
      <w:marRight w:val="0"/>
      <w:marTop w:val="0"/>
      <w:marBottom w:val="0"/>
      <w:divBdr>
        <w:top w:val="none" w:sz="0" w:space="0" w:color="auto"/>
        <w:left w:val="none" w:sz="0" w:space="0" w:color="auto"/>
        <w:bottom w:val="none" w:sz="0" w:space="0" w:color="auto"/>
        <w:right w:val="none" w:sz="0" w:space="0" w:color="auto"/>
      </w:divBdr>
    </w:div>
    <w:div w:id="222764528">
      <w:bodyDiv w:val="1"/>
      <w:marLeft w:val="0"/>
      <w:marRight w:val="0"/>
      <w:marTop w:val="0"/>
      <w:marBottom w:val="0"/>
      <w:divBdr>
        <w:top w:val="none" w:sz="0" w:space="0" w:color="auto"/>
        <w:left w:val="none" w:sz="0" w:space="0" w:color="auto"/>
        <w:bottom w:val="none" w:sz="0" w:space="0" w:color="auto"/>
        <w:right w:val="none" w:sz="0" w:space="0" w:color="auto"/>
      </w:divBdr>
    </w:div>
    <w:div w:id="256989208">
      <w:bodyDiv w:val="1"/>
      <w:marLeft w:val="0"/>
      <w:marRight w:val="0"/>
      <w:marTop w:val="0"/>
      <w:marBottom w:val="0"/>
      <w:divBdr>
        <w:top w:val="none" w:sz="0" w:space="0" w:color="auto"/>
        <w:left w:val="none" w:sz="0" w:space="0" w:color="auto"/>
        <w:bottom w:val="none" w:sz="0" w:space="0" w:color="auto"/>
        <w:right w:val="none" w:sz="0" w:space="0" w:color="auto"/>
      </w:divBdr>
    </w:div>
    <w:div w:id="263193260">
      <w:bodyDiv w:val="1"/>
      <w:marLeft w:val="0"/>
      <w:marRight w:val="0"/>
      <w:marTop w:val="0"/>
      <w:marBottom w:val="0"/>
      <w:divBdr>
        <w:top w:val="none" w:sz="0" w:space="0" w:color="auto"/>
        <w:left w:val="none" w:sz="0" w:space="0" w:color="auto"/>
        <w:bottom w:val="none" w:sz="0" w:space="0" w:color="auto"/>
        <w:right w:val="none" w:sz="0" w:space="0" w:color="auto"/>
      </w:divBdr>
    </w:div>
    <w:div w:id="270673937">
      <w:bodyDiv w:val="1"/>
      <w:marLeft w:val="0"/>
      <w:marRight w:val="0"/>
      <w:marTop w:val="0"/>
      <w:marBottom w:val="0"/>
      <w:divBdr>
        <w:top w:val="none" w:sz="0" w:space="0" w:color="auto"/>
        <w:left w:val="none" w:sz="0" w:space="0" w:color="auto"/>
        <w:bottom w:val="none" w:sz="0" w:space="0" w:color="auto"/>
        <w:right w:val="none" w:sz="0" w:space="0" w:color="auto"/>
      </w:divBdr>
    </w:div>
    <w:div w:id="296185279">
      <w:bodyDiv w:val="1"/>
      <w:marLeft w:val="0"/>
      <w:marRight w:val="0"/>
      <w:marTop w:val="0"/>
      <w:marBottom w:val="0"/>
      <w:divBdr>
        <w:top w:val="none" w:sz="0" w:space="0" w:color="auto"/>
        <w:left w:val="none" w:sz="0" w:space="0" w:color="auto"/>
        <w:bottom w:val="none" w:sz="0" w:space="0" w:color="auto"/>
        <w:right w:val="none" w:sz="0" w:space="0" w:color="auto"/>
      </w:divBdr>
    </w:div>
    <w:div w:id="353769417">
      <w:bodyDiv w:val="1"/>
      <w:marLeft w:val="0"/>
      <w:marRight w:val="0"/>
      <w:marTop w:val="0"/>
      <w:marBottom w:val="0"/>
      <w:divBdr>
        <w:top w:val="none" w:sz="0" w:space="0" w:color="auto"/>
        <w:left w:val="none" w:sz="0" w:space="0" w:color="auto"/>
        <w:bottom w:val="none" w:sz="0" w:space="0" w:color="auto"/>
        <w:right w:val="none" w:sz="0" w:space="0" w:color="auto"/>
      </w:divBdr>
    </w:div>
    <w:div w:id="366491627">
      <w:bodyDiv w:val="1"/>
      <w:marLeft w:val="0"/>
      <w:marRight w:val="0"/>
      <w:marTop w:val="0"/>
      <w:marBottom w:val="0"/>
      <w:divBdr>
        <w:top w:val="none" w:sz="0" w:space="0" w:color="auto"/>
        <w:left w:val="none" w:sz="0" w:space="0" w:color="auto"/>
        <w:bottom w:val="none" w:sz="0" w:space="0" w:color="auto"/>
        <w:right w:val="none" w:sz="0" w:space="0" w:color="auto"/>
      </w:divBdr>
    </w:div>
    <w:div w:id="464661030">
      <w:bodyDiv w:val="1"/>
      <w:marLeft w:val="0"/>
      <w:marRight w:val="0"/>
      <w:marTop w:val="0"/>
      <w:marBottom w:val="0"/>
      <w:divBdr>
        <w:top w:val="none" w:sz="0" w:space="0" w:color="auto"/>
        <w:left w:val="none" w:sz="0" w:space="0" w:color="auto"/>
        <w:bottom w:val="none" w:sz="0" w:space="0" w:color="auto"/>
        <w:right w:val="none" w:sz="0" w:space="0" w:color="auto"/>
      </w:divBdr>
    </w:div>
    <w:div w:id="506287488">
      <w:bodyDiv w:val="1"/>
      <w:marLeft w:val="0"/>
      <w:marRight w:val="0"/>
      <w:marTop w:val="0"/>
      <w:marBottom w:val="0"/>
      <w:divBdr>
        <w:top w:val="none" w:sz="0" w:space="0" w:color="auto"/>
        <w:left w:val="none" w:sz="0" w:space="0" w:color="auto"/>
        <w:bottom w:val="none" w:sz="0" w:space="0" w:color="auto"/>
        <w:right w:val="none" w:sz="0" w:space="0" w:color="auto"/>
      </w:divBdr>
    </w:div>
    <w:div w:id="529610460">
      <w:bodyDiv w:val="1"/>
      <w:marLeft w:val="0"/>
      <w:marRight w:val="0"/>
      <w:marTop w:val="0"/>
      <w:marBottom w:val="0"/>
      <w:divBdr>
        <w:top w:val="none" w:sz="0" w:space="0" w:color="auto"/>
        <w:left w:val="none" w:sz="0" w:space="0" w:color="auto"/>
        <w:bottom w:val="none" w:sz="0" w:space="0" w:color="auto"/>
        <w:right w:val="none" w:sz="0" w:space="0" w:color="auto"/>
      </w:divBdr>
    </w:div>
    <w:div w:id="549923524">
      <w:bodyDiv w:val="1"/>
      <w:marLeft w:val="0"/>
      <w:marRight w:val="0"/>
      <w:marTop w:val="0"/>
      <w:marBottom w:val="0"/>
      <w:divBdr>
        <w:top w:val="none" w:sz="0" w:space="0" w:color="auto"/>
        <w:left w:val="none" w:sz="0" w:space="0" w:color="auto"/>
        <w:bottom w:val="none" w:sz="0" w:space="0" w:color="auto"/>
        <w:right w:val="none" w:sz="0" w:space="0" w:color="auto"/>
      </w:divBdr>
    </w:div>
    <w:div w:id="573593284">
      <w:bodyDiv w:val="1"/>
      <w:marLeft w:val="0"/>
      <w:marRight w:val="0"/>
      <w:marTop w:val="0"/>
      <w:marBottom w:val="0"/>
      <w:divBdr>
        <w:top w:val="none" w:sz="0" w:space="0" w:color="auto"/>
        <w:left w:val="none" w:sz="0" w:space="0" w:color="auto"/>
        <w:bottom w:val="none" w:sz="0" w:space="0" w:color="auto"/>
        <w:right w:val="none" w:sz="0" w:space="0" w:color="auto"/>
      </w:divBdr>
    </w:div>
    <w:div w:id="708140281">
      <w:bodyDiv w:val="1"/>
      <w:marLeft w:val="0"/>
      <w:marRight w:val="0"/>
      <w:marTop w:val="0"/>
      <w:marBottom w:val="0"/>
      <w:divBdr>
        <w:top w:val="none" w:sz="0" w:space="0" w:color="auto"/>
        <w:left w:val="none" w:sz="0" w:space="0" w:color="auto"/>
        <w:bottom w:val="none" w:sz="0" w:space="0" w:color="auto"/>
        <w:right w:val="none" w:sz="0" w:space="0" w:color="auto"/>
      </w:divBdr>
    </w:div>
    <w:div w:id="762728557">
      <w:bodyDiv w:val="1"/>
      <w:marLeft w:val="0"/>
      <w:marRight w:val="0"/>
      <w:marTop w:val="0"/>
      <w:marBottom w:val="0"/>
      <w:divBdr>
        <w:top w:val="none" w:sz="0" w:space="0" w:color="auto"/>
        <w:left w:val="none" w:sz="0" w:space="0" w:color="auto"/>
        <w:bottom w:val="none" w:sz="0" w:space="0" w:color="auto"/>
        <w:right w:val="none" w:sz="0" w:space="0" w:color="auto"/>
      </w:divBdr>
    </w:div>
    <w:div w:id="777026289">
      <w:bodyDiv w:val="1"/>
      <w:marLeft w:val="0"/>
      <w:marRight w:val="0"/>
      <w:marTop w:val="0"/>
      <w:marBottom w:val="0"/>
      <w:divBdr>
        <w:top w:val="none" w:sz="0" w:space="0" w:color="auto"/>
        <w:left w:val="none" w:sz="0" w:space="0" w:color="auto"/>
        <w:bottom w:val="none" w:sz="0" w:space="0" w:color="auto"/>
        <w:right w:val="none" w:sz="0" w:space="0" w:color="auto"/>
      </w:divBdr>
    </w:div>
    <w:div w:id="777218294">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887180462">
      <w:bodyDiv w:val="1"/>
      <w:marLeft w:val="0"/>
      <w:marRight w:val="0"/>
      <w:marTop w:val="0"/>
      <w:marBottom w:val="0"/>
      <w:divBdr>
        <w:top w:val="none" w:sz="0" w:space="0" w:color="auto"/>
        <w:left w:val="none" w:sz="0" w:space="0" w:color="auto"/>
        <w:bottom w:val="none" w:sz="0" w:space="0" w:color="auto"/>
        <w:right w:val="none" w:sz="0" w:space="0" w:color="auto"/>
      </w:divBdr>
    </w:div>
    <w:div w:id="923345275">
      <w:bodyDiv w:val="1"/>
      <w:marLeft w:val="0"/>
      <w:marRight w:val="0"/>
      <w:marTop w:val="0"/>
      <w:marBottom w:val="0"/>
      <w:divBdr>
        <w:top w:val="none" w:sz="0" w:space="0" w:color="auto"/>
        <w:left w:val="none" w:sz="0" w:space="0" w:color="auto"/>
        <w:bottom w:val="none" w:sz="0" w:space="0" w:color="auto"/>
        <w:right w:val="none" w:sz="0" w:space="0" w:color="auto"/>
      </w:divBdr>
    </w:div>
    <w:div w:id="929771726">
      <w:bodyDiv w:val="1"/>
      <w:marLeft w:val="0"/>
      <w:marRight w:val="0"/>
      <w:marTop w:val="0"/>
      <w:marBottom w:val="0"/>
      <w:divBdr>
        <w:top w:val="none" w:sz="0" w:space="0" w:color="auto"/>
        <w:left w:val="none" w:sz="0" w:space="0" w:color="auto"/>
        <w:bottom w:val="none" w:sz="0" w:space="0" w:color="auto"/>
        <w:right w:val="none" w:sz="0" w:space="0" w:color="auto"/>
      </w:divBdr>
    </w:div>
    <w:div w:id="930554205">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203710094">
      <w:bodyDiv w:val="1"/>
      <w:marLeft w:val="0"/>
      <w:marRight w:val="0"/>
      <w:marTop w:val="0"/>
      <w:marBottom w:val="0"/>
      <w:divBdr>
        <w:top w:val="none" w:sz="0" w:space="0" w:color="auto"/>
        <w:left w:val="none" w:sz="0" w:space="0" w:color="auto"/>
        <w:bottom w:val="none" w:sz="0" w:space="0" w:color="auto"/>
        <w:right w:val="none" w:sz="0" w:space="0" w:color="auto"/>
      </w:divBdr>
    </w:div>
    <w:div w:id="1264344820">
      <w:bodyDiv w:val="1"/>
      <w:marLeft w:val="0"/>
      <w:marRight w:val="0"/>
      <w:marTop w:val="0"/>
      <w:marBottom w:val="0"/>
      <w:divBdr>
        <w:top w:val="none" w:sz="0" w:space="0" w:color="auto"/>
        <w:left w:val="none" w:sz="0" w:space="0" w:color="auto"/>
        <w:bottom w:val="none" w:sz="0" w:space="0" w:color="auto"/>
        <w:right w:val="none" w:sz="0" w:space="0" w:color="auto"/>
      </w:divBdr>
    </w:div>
    <w:div w:id="1288244255">
      <w:bodyDiv w:val="1"/>
      <w:marLeft w:val="0"/>
      <w:marRight w:val="0"/>
      <w:marTop w:val="0"/>
      <w:marBottom w:val="0"/>
      <w:divBdr>
        <w:top w:val="none" w:sz="0" w:space="0" w:color="auto"/>
        <w:left w:val="none" w:sz="0" w:space="0" w:color="auto"/>
        <w:bottom w:val="none" w:sz="0" w:space="0" w:color="auto"/>
        <w:right w:val="none" w:sz="0" w:space="0" w:color="auto"/>
      </w:divBdr>
    </w:div>
    <w:div w:id="1290280532">
      <w:bodyDiv w:val="1"/>
      <w:marLeft w:val="0"/>
      <w:marRight w:val="0"/>
      <w:marTop w:val="0"/>
      <w:marBottom w:val="0"/>
      <w:divBdr>
        <w:top w:val="none" w:sz="0" w:space="0" w:color="auto"/>
        <w:left w:val="none" w:sz="0" w:space="0" w:color="auto"/>
        <w:bottom w:val="none" w:sz="0" w:space="0" w:color="auto"/>
        <w:right w:val="none" w:sz="0" w:space="0" w:color="auto"/>
      </w:divBdr>
    </w:div>
    <w:div w:id="1308431828">
      <w:bodyDiv w:val="1"/>
      <w:marLeft w:val="0"/>
      <w:marRight w:val="0"/>
      <w:marTop w:val="0"/>
      <w:marBottom w:val="0"/>
      <w:divBdr>
        <w:top w:val="none" w:sz="0" w:space="0" w:color="auto"/>
        <w:left w:val="none" w:sz="0" w:space="0" w:color="auto"/>
        <w:bottom w:val="none" w:sz="0" w:space="0" w:color="auto"/>
        <w:right w:val="none" w:sz="0" w:space="0" w:color="auto"/>
      </w:divBdr>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435514777">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585190284">
      <w:bodyDiv w:val="1"/>
      <w:marLeft w:val="0"/>
      <w:marRight w:val="0"/>
      <w:marTop w:val="0"/>
      <w:marBottom w:val="0"/>
      <w:divBdr>
        <w:top w:val="none" w:sz="0" w:space="0" w:color="auto"/>
        <w:left w:val="none" w:sz="0" w:space="0" w:color="auto"/>
        <w:bottom w:val="none" w:sz="0" w:space="0" w:color="auto"/>
        <w:right w:val="none" w:sz="0" w:space="0" w:color="auto"/>
      </w:divBdr>
    </w:div>
    <w:div w:id="1594704869">
      <w:bodyDiv w:val="1"/>
      <w:marLeft w:val="0"/>
      <w:marRight w:val="0"/>
      <w:marTop w:val="0"/>
      <w:marBottom w:val="0"/>
      <w:divBdr>
        <w:top w:val="none" w:sz="0" w:space="0" w:color="auto"/>
        <w:left w:val="none" w:sz="0" w:space="0" w:color="auto"/>
        <w:bottom w:val="none" w:sz="0" w:space="0" w:color="auto"/>
        <w:right w:val="none" w:sz="0" w:space="0" w:color="auto"/>
      </w:divBdr>
    </w:div>
    <w:div w:id="1612125884">
      <w:bodyDiv w:val="1"/>
      <w:marLeft w:val="0"/>
      <w:marRight w:val="0"/>
      <w:marTop w:val="0"/>
      <w:marBottom w:val="0"/>
      <w:divBdr>
        <w:top w:val="none" w:sz="0" w:space="0" w:color="auto"/>
        <w:left w:val="none" w:sz="0" w:space="0" w:color="auto"/>
        <w:bottom w:val="none" w:sz="0" w:space="0" w:color="auto"/>
        <w:right w:val="none" w:sz="0" w:space="0" w:color="auto"/>
      </w:divBdr>
    </w:div>
    <w:div w:id="1636134417">
      <w:bodyDiv w:val="1"/>
      <w:marLeft w:val="0"/>
      <w:marRight w:val="0"/>
      <w:marTop w:val="0"/>
      <w:marBottom w:val="0"/>
      <w:divBdr>
        <w:top w:val="none" w:sz="0" w:space="0" w:color="auto"/>
        <w:left w:val="none" w:sz="0" w:space="0" w:color="auto"/>
        <w:bottom w:val="none" w:sz="0" w:space="0" w:color="auto"/>
        <w:right w:val="none" w:sz="0" w:space="0" w:color="auto"/>
      </w:divBdr>
    </w:div>
    <w:div w:id="1659072790">
      <w:bodyDiv w:val="1"/>
      <w:marLeft w:val="0"/>
      <w:marRight w:val="0"/>
      <w:marTop w:val="0"/>
      <w:marBottom w:val="0"/>
      <w:divBdr>
        <w:top w:val="none" w:sz="0" w:space="0" w:color="auto"/>
        <w:left w:val="none" w:sz="0" w:space="0" w:color="auto"/>
        <w:bottom w:val="none" w:sz="0" w:space="0" w:color="auto"/>
        <w:right w:val="none" w:sz="0" w:space="0" w:color="auto"/>
      </w:divBdr>
    </w:div>
    <w:div w:id="1687096677">
      <w:bodyDiv w:val="1"/>
      <w:marLeft w:val="0"/>
      <w:marRight w:val="0"/>
      <w:marTop w:val="0"/>
      <w:marBottom w:val="0"/>
      <w:divBdr>
        <w:top w:val="none" w:sz="0" w:space="0" w:color="auto"/>
        <w:left w:val="none" w:sz="0" w:space="0" w:color="auto"/>
        <w:bottom w:val="none" w:sz="0" w:space="0" w:color="auto"/>
        <w:right w:val="none" w:sz="0" w:space="0" w:color="auto"/>
      </w:divBdr>
    </w:div>
    <w:div w:id="1688360764">
      <w:bodyDiv w:val="1"/>
      <w:marLeft w:val="0"/>
      <w:marRight w:val="0"/>
      <w:marTop w:val="0"/>
      <w:marBottom w:val="0"/>
      <w:divBdr>
        <w:top w:val="none" w:sz="0" w:space="0" w:color="auto"/>
        <w:left w:val="none" w:sz="0" w:space="0" w:color="auto"/>
        <w:bottom w:val="none" w:sz="0" w:space="0" w:color="auto"/>
        <w:right w:val="none" w:sz="0" w:space="0" w:color="auto"/>
      </w:divBdr>
    </w:div>
    <w:div w:id="1699576495">
      <w:bodyDiv w:val="1"/>
      <w:marLeft w:val="0"/>
      <w:marRight w:val="0"/>
      <w:marTop w:val="0"/>
      <w:marBottom w:val="0"/>
      <w:divBdr>
        <w:top w:val="none" w:sz="0" w:space="0" w:color="auto"/>
        <w:left w:val="none" w:sz="0" w:space="0" w:color="auto"/>
        <w:bottom w:val="none" w:sz="0" w:space="0" w:color="auto"/>
        <w:right w:val="none" w:sz="0" w:space="0" w:color="auto"/>
      </w:divBdr>
    </w:div>
    <w:div w:id="1711881762">
      <w:bodyDiv w:val="1"/>
      <w:marLeft w:val="0"/>
      <w:marRight w:val="0"/>
      <w:marTop w:val="0"/>
      <w:marBottom w:val="0"/>
      <w:divBdr>
        <w:top w:val="none" w:sz="0" w:space="0" w:color="auto"/>
        <w:left w:val="none" w:sz="0" w:space="0" w:color="auto"/>
        <w:bottom w:val="none" w:sz="0" w:space="0" w:color="auto"/>
        <w:right w:val="none" w:sz="0" w:space="0" w:color="auto"/>
      </w:divBdr>
    </w:div>
    <w:div w:id="1742945020">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765304584">
      <w:bodyDiv w:val="1"/>
      <w:marLeft w:val="0"/>
      <w:marRight w:val="0"/>
      <w:marTop w:val="0"/>
      <w:marBottom w:val="0"/>
      <w:divBdr>
        <w:top w:val="none" w:sz="0" w:space="0" w:color="auto"/>
        <w:left w:val="none" w:sz="0" w:space="0" w:color="auto"/>
        <w:bottom w:val="none" w:sz="0" w:space="0" w:color="auto"/>
        <w:right w:val="none" w:sz="0" w:space="0" w:color="auto"/>
      </w:divBdr>
    </w:div>
    <w:div w:id="1817145952">
      <w:bodyDiv w:val="1"/>
      <w:marLeft w:val="0"/>
      <w:marRight w:val="0"/>
      <w:marTop w:val="0"/>
      <w:marBottom w:val="0"/>
      <w:divBdr>
        <w:top w:val="none" w:sz="0" w:space="0" w:color="auto"/>
        <w:left w:val="none" w:sz="0" w:space="0" w:color="auto"/>
        <w:bottom w:val="none" w:sz="0" w:space="0" w:color="auto"/>
        <w:right w:val="none" w:sz="0" w:space="0" w:color="auto"/>
      </w:divBdr>
    </w:div>
    <w:div w:id="1921019651">
      <w:bodyDiv w:val="1"/>
      <w:marLeft w:val="0"/>
      <w:marRight w:val="0"/>
      <w:marTop w:val="0"/>
      <w:marBottom w:val="0"/>
      <w:divBdr>
        <w:top w:val="none" w:sz="0" w:space="0" w:color="auto"/>
        <w:left w:val="none" w:sz="0" w:space="0" w:color="auto"/>
        <w:bottom w:val="none" w:sz="0" w:space="0" w:color="auto"/>
        <w:right w:val="none" w:sz="0" w:space="0" w:color="auto"/>
      </w:divBdr>
    </w:div>
    <w:div w:id="1925605239">
      <w:bodyDiv w:val="1"/>
      <w:marLeft w:val="0"/>
      <w:marRight w:val="0"/>
      <w:marTop w:val="0"/>
      <w:marBottom w:val="0"/>
      <w:divBdr>
        <w:top w:val="none" w:sz="0" w:space="0" w:color="auto"/>
        <w:left w:val="none" w:sz="0" w:space="0" w:color="auto"/>
        <w:bottom w:val="none" w:sz="0" w:space="0" w:color="auto"/>
        <w:right w:val="none" w:sz="0" w:space="0" w:color="auto"/>
      </w:divBdr>
    </w:div>
    <w:div w:id="1956280822">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 w:id="2110152072">
      <w:bodyDiv w:val="1"/>
      <w:marLeft w:val="0"/>
      <w:marRight w:val="0"/>
      <w:marTop w:val="0"/>
      <w:marBottom w:val="0"/>
      <w:divBdr>
        <w:top w:val="none" w:sz="0" w:space="0" w:color="auto"/>
        <w:left w:val="none" w:sz="0" w:space="0" w:color="auto"/>
        <w:bottom w:val="none" w:sz="0" w:space="0" w:color="auto"/>
        <w:right w:val="none" w:sz="0" w:space="0" w:color="auto"/>
      </w:divBdr>
    </w:div>
    <w:div w:id="212330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4108</TotalTime>
  <Pages>1</Pages>
  <Words>1370</Words>
  <Characters>7815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1252</cp:revision>
  <cp:lastPrinted>2025-04-15T09:36:00Z</cp:lastPrinted>
  <dcterms:created xsi:type="dcterms:W3CDTF">2022-10-16T08:36:00Z</dcterms:created>
  <dcterms:modified xsi:type="dcterms:W3CDTF">2025-11-17T15:57:00Z</dcterms:modified>
</cp:coreProperties>
</file>