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C8394" w14:textId="77777777" w:rsidR="00D81484" w:rsidRDefault="00D81484" w:rsidP="00D81484">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F30C125" w14:textId="77777777" w:rsidR="00D81484" w:rsidRDefault="00D81484" w:rsidP="00D81484">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3C6E965D" w14:textId="77777777" w:rsidR="00D81484" w:rsidRDefault="00D81484" w:rsidP="00D81484">
      <w:pPr>
        <w:widowControl w:val="0"/>
        <w:bidi/>
        <w:spacing w:after="240"/>
        <w:jc w:val="center"/>
        <w:rPr>
          <w:rFonts w:cs="B Mitra" w:hint="cs"/>
          <w:b/>
          <w:bCs/>
          <w:sz w:val="32"/>
          <w:szCs w:val="32"/>
          <w:rtl/>
          <w:lang w:bidi="fa-IR"/>
        </w:rPr>
      </w:pPr>
      <w:r>
        <w:rPr>
          <w:rFonts w:cs="B Mitra" w:hint="cs"/>
          <w:b/>
          <w:bCs/>
          <w:sz w:val="32"/>
          <w:szCs w:val="32"/>
          <w:rtl/>
          <w:lang w:bidi="fa-IR"/>
        </w:rPr>
        <w:t>جلسه 970</w:t>
      </w:r>
    </w:p>
    <w:bookmarkEnd w:id="0"/>
    <w:p w14:paraId="798B333E" w14:textId="77777777" w:rsidR="00D81484" w:rsidRDefault="00D81484" w:rsidP="00D81484">
      <w:pPr>
        <w:widowControl w:val="0"/>
        <w:bidi/>
        <w:spacing w:before="240" w:line="261" w:lineRule="auto"/>
        <w:ind w:firstLine="289"/>
        <w:jc w:val="both"/>
        <w:rPr>
          <w:rFonts w:cs="2  Mitra" w:hint="cs"/>
          <w:sz w:val="28"/>
          <w:szCs w:val="28"/>
          <w:rtl/>
        </w:rPr>
      </w:pPr>
    </w:p>
    <w:p w14:paraId="6C39B9F9" w14:textId="77777777" w:rsidR="00D81484" w:rsidRDefault="00D81484" w:rsidP="00D81484">
      <w:pPr>
        <w:widowControl w:val="0"/>
        <w:bidi/>
        <w:spacing w:before="240"/>
        <w:ind w:firstLine="289"/>
        <w:jc w:val="both"/>
        <w:rPr>
          <w:rFonts w:cs="2  Mitra" w:hint="cs"/>
          <w:sz w:val="28"/>
          <w:szCs w:val="28"/>
          <w:rtl/>
          <w:lang w:bidi="fa-IR"/>
        </w:rPr>
      </w:pPr>
      <w:r>
        <w:rPr>
          <w:rFonts w:cs="2  Mitra" w:hint="cs"/>
          <w:sz w:val="28"/>
          <w:szCs w:val="28"/>
          <w:rtl/>
          <w:lang w:bidi="fa-IR"/>
        </w:rPr>
        <w:t>جلسه قبل اشکال مرحوم محقق اصفهانی بر مدعای مرحوم آخوند و پاسخ خود ايشان به اشکال مذکور، بيان شد.</w:t>
      </w:r>
    </w:p>
    <w:p w14:paraId="7DA06763" w14:textId="77777777" w:rsidR="00D81484" w:rsidRDefault="00D81484" w:rsidP="00D81484">
      <w:pPr>
        <w:widowControl w:val="0"/>
        <w:bidi/>
        <w:spacing w:before="240"/>
        <w:ind w:firstLine="289"/>
        <w:jc w:val="both"/>
        <w:rPr>
          <w:rFonts w:cs="2  Mitra" w:hint="cs"/>
          <w:sz w:val="28"/>
          <w:szCs w:val="28"/>
          <w:rtl/>
        </w:rPr>
      </w:pPr>
      <w:bookmarkStart w:id="1" w:name="_Hlk213961952"/>
      <w:r>
        <w:rPr>
          <w:rFonts w:cs="2  Mitra" w:hint="cs"/>
          <w:sz w:val="28"/>
          <w:szCs w:val="28"/>
          <w:rtl/>
        </w:rPr>
        <w:t>اما مرحوم آيت الله روحانی پاسخ ايشان را رافع اشکال ندانسته و می</w:t>
      </w:r>
      <w:r>
        <w:rPr>
          <w:rFonts w:cs="2  Mitra" w:hint="cs"/>
          <w:sz w:val="28"/>
          <w:szCs w:val="28"/>
          <w:rtl/>
        </w:rPr>
        <w:softHyphen/>
        <w:t>فرمايند: برای استعمال عام در معنای عموم به عنوان قاعده، دو وجه وجود دارد:</w:t>
      </w:r>
    </w:p>
    <w:p w14:paraId="0DAB2A64" w14:textId="77777777" w:rsidR="00D81484" w:rsidRDefault="00D81484" w:rsidP="00D81484">
      <w:pPr>
        <w:widowControl w:val="0"/>
        <w:bidi/>
        <w:spacing w:before="240"/>
        <w:ind w:firstLine="289"/>
        <w:jc w:val="both"/>
        <w:rPr>
          <w:rFonts w:cs="2  Mitra" w:hint="cs"/>
          <w:sz w:val="28"/>
          <w:szCs w:val="28"/>
          <w:rtl/>
        </w:rPr>
      </w:pPr>
      <w:r>
        <w:rPr>
          <w:rFonts w:cs="2  Mitra" w:hint="cs"/>
          <w:sz w:val="28"/>
          <w:szCs w:val="28"/>
          <w:rtl/>
        </w:rPr>
        <w:t>وجه اول: برای حجّیت بر عموم در صورت عدم ورود مخصّص که این وجه تنها در صورتی صحیح است که مخصّص بعد از وقت عمل برسد نه قبل از آن ـ همچنان که به نسبت به زمان ما غالباً چنين است ـ زیرا «</w:t>
      </w:r>
      <w:r>
        <w:rPr>
          <w:rFonts w:cs="Abz-2 (Badr)" w:hint="cs"/>
          <w:sz w:val="28"/>
          <w:szCs w:val="28"/>
          <w:rtl/>
        </w:rPr>
        <w:t>اصالة العموم</w:t>
      </w:r>
      <w:r>
        <w:rPr>
          <w:rFonts w:cs="2  Mitra" w:hint="cs"/>
          <w:sz w:val="28"/>
          <w:szCs w:val="28"/>
          <w:rtl/>
        </w:rPr>
        <w:t>» پیش از وقت عمل جاری نیست.</w:t>
      </w:r>
    </w:p>
    <w:p w14:paraId="7A8607AE" w14:textId="77777777" w:rsidR="00D81484" w:rsidRDefault="00D81484" w:rsidP="00D81484">
      <w:pPr>
        <w:widowControl w:val="0"/>
        <w:bidi/>
        <w:spacing w:before="240"/>
        <w:ind w:firstLine="289"/>
        <w:jc w:val="both"/>
        <w:rPr>
          <w:rFonts w:cs="2  Mitra"/>
          <w:sz w:val="28"/>
          <w:szCs w:val="28"/>
        </w:rPr>
      </w:pPr>
      <w:r>
        <w:rPr>
          <w:rFonts w:cs="2  Mitra" w:hint="cs"/>
          <w:sz w:val="28"/>
          <w:szCs w:val="28"/>
          <w:rtl/>
        </w:rPr>
        <w:t>وجه دوم: برای حجّیت بر باقی پس از ورود مخصّص که اگر مقصود از آن این باشد که عام در معنای عموم استعمال شود امّا از آن جهت که مدلول آن عام است، فقط حجّت بر خاص باشد، کسی ملتزم به اين مطلب نمی</w:t>
      </w:r>
      <w:r>
        <w:rPr>
          <w:rFonts w:cs="2  Mitra" w:hint="cs"/>
          <w:sz w:val="28"/>
          <w:szCs w:val="28"/>
          <w:rtl/>
        </w:rPr>
        <w:softHyphen/>
        <w:t>شود.</w:t>
      </w:r>
    </w:p>
    <w:p w14:paraId="02E197C0" w14:textId="77777777" w:rsidR="00D81484" w:rsidRDefault="00D81484" w:rsidP="00D81484">
      <w:pPr>
        <w:widowControl w:val="0"/>
        <w:bidi/>
        <w:spacing w:before="240"/>
        <w:ind w:firstLine="289"/>
        <w:jc w:val="both"/>
        <w:rPr>
          <w:rFonts w:cs="2  Mitra" w:hint="cs"/>
          <w:spacing w:val="-2"/>
          <w:sz w:val="28"/>
          <w:szCs w:val="28"/>
          <w:rtl/>
        </w:rPr>
      </w:pPr>
      <w:r>
        <w:rPr>
          <w:rFonts w:cs="2  Mitra" w:hint="cs"/>
          <w:spacing w:val="-2"/>
          <w:sz w:val="28"/>
          <w:szCs w:val="28"/>
          <w:rtl/>
        </w:rPr>
        <w:t>و اگر مراد این باشد که عام از این جهت که خاص، جزء مدلول آن است و عام به دلالت تضمّنی بر آن دلالت دارد، حجّت بر خاص باشد، در اين صورت علاوه بر اين که ورود عام لغو خواهد بود ـ چون متکلم می‌توانست از ابتدا خاص را بیاورد ـ تماميت اين وجه نيز متوقف بر استقلال دلالت تضمّنی در حجّیت از دلالت مطابقی می</w:t>
      </w:r>
      <w:r>
        <w:rPr>
          <w:rFonts w:cs="2  Mitra" w:hint="cs"/>
          <w:spacing w:val="-2"/>
          <w:sz w:val="28"/>
          <w:szCs w:val="28"/>
          <w:rtl/>
        </w:rPr>
        <w:softHyphen/>
        <w:t>باشد که خلاف مقتضای تحقيق است.</w:t>
      </w:r>
      <w:r>
        <w:rPr>
          <w:rStyle w:val="FootnoteReference"/>
          <w:rFonts w:cs="2  Mitra"/>
          <w:sz w:val="28"/>
          <w:szCs w:val="28"/>
          <w:rtl/>
        </w:rPr>
        <w:footnoteReference w:id="2"/>
      </w:r>
    </w:p>
    <w:p w14:paraId="238745D7" w14:textId="77777777" w:rsidR="00D81484" w:rsidRDefault="00D81484" w:rsidP="00D81484">
      <w:pPr>
        <w:widowControl w:val="0"/>
        <w:bidi/>
        <w:spacing w:before="240"/>
        <w:ind w:firstLine="289"/>
        <w:jc w:val="both"/>
        <w:rPr>
          <w:rFonts w:cs="2  Mitra" w:hint="cs"/>
          <w:sz w:val="28"/>
          <w:szCs w:val="28"/>
          <w:rtl/>
        </w:rPr>
      </w:pPr>
      <w:r>
        <w:rPr>
          <w:rFonts w:cs="2  Mitra" w:hint="cs"/>
          <w:sz w:val="28"/>
          <w:szCs w:val="28"/>
          <w:rtl/>
        </w:rPr>
        <w:t xml:space="preserve">اما بر فرمايشات ايشان </w:t>
      </w:r>
      <w:r>
        <w:rPr>
          <w:rFonts w:cs="2  Mitra" w:hint="cs"/>
          <w:sz w:val="28"/>
          <w:szCs w:val="28"/>
          <w:rtl/>
          <w:lang w:bidi="fa-IR"/>
        </w:rPr>
        <w:t>دو اشکال</w:t>
      </w:r>
      <w:r>
        <w:rPr>
          <w:rFonts w:cs="2  Mitra" w:hint="cs"/>
          <w:sz w:val="28"/>
          <w:szCs w:val="28"/>
          <w:rtl/>
        </w:rPr>
        <w:t xml:space="preserve"> وارد است:</w:t>
      </w:r>
    </w:p>
    <w:p w14:paraId="178F1F94" w14:textId="77777777" w:rsidR="00D81484" w:rsidRDefault="00D81484" w:rsidP="00D81484">
      <w:pPr>
        <w:widowControl w:val="0"/>
        <w:bidi/>
        <w:spacing w:before="240"/>
        <w:ind w:firstLine="289"/>
        <w:jc w:val="both"/>
        <w:rPr>
          <w:rFonts w:cs="2  Mitra" w:hint="cs"/>
          <w:sz w:val="28"/>
          <w:szCs w:val="28"/>
          <w:rtl/>
        </w:rPr>
      </w:pPr>
      <w:r>
        <w:rPr>
          <w:rFonts w:cs="2  Mitra" w:hint="cs"/>
          <w:sz w:val="28"/>
          <w:szCs w:val="28"/>
          <w:rtl/>
        </w:rPr>
        <w:t>اوّلاً: بر اساس وجه نخست که مطرح کرده‌اند، جعل قانون به وسیله عام امکان‌پذیر است؛ زیرا عدم جريان «</w:t>
      </w:r>
      <w:r>
        <w:rPr>
          <w:rFonts w:cs="Abz-2 (Badr)" w:hint="cs"/>
          <w:sz w:val="28"/>
          <w:szCs w:val="28"/>
          <w:rtl/>
        </w:rPr>
        <w:t>أصالة العموم</w:t>
      </w:r>
      <w:r>
        <w:rPr>
          <w:rFonts w:cs="2  Mitra" w:hint="cs"/>
          <w:sz w:val="28"/>
          <w:szCs w:val="28"/>
          <w:rtl/>
        </w:rPr>
        <w:t>» پ</w:t>
      </w:r>
      <w:r>
        <w:rPr>
          <w:rFonts w:cs="2  Mitra" w:hint="cs"/>
          <w:sz w:val="28"/>
          <w:szCs w:val="28"/>
          <w:rtl/>
          <w:lang w:bidi="fa-IR"/>
        </w:rPr>
        <w:t>يش</w:t>
      </w:r>
      <w:r>
        <w:rPr>
          <w:rFonts w:cs="2  Mitra" w:hint="cs"/>
          <w:sz w:val="28"/>
          <w:szCs w:val="28"/>
          <w:rtl/>
        </w:rPr>
        <w:t xml:space="preserve"> از فرا رسیدن وقت عمل، مستلزم اين نيست که بعد از فرا رسيدن وقت عمل و پس از فحص از خاص و عدم دست‌یابی </w:t>
      </w:r>
      <w:r>
        <w:rPr>
          <w:rFonts w:cs="2  Mitra" w:hint="cs"/>
          <w:sz w:val="28"/>
          <w:szCs w:val="28"/>
          <w:rtl/>
        </w:rPr>
        <w:lastRenderedPageBreak/>
        <w:t>به آن، نتوان به اصل مذکور عمل نمود.</w:t>
      </w:r>
    </w:p>
    <w:p w14:paraId="68BB2C68" w14:textId="77777777" w:rsidR="00D81484" w:rsidRDefault="00D81484" w:rsidP="00D81484">
      <w:pPr>
        <w:widowControl w:val="0"/>
        <w:bidi/>
        <w:spacing w:before="240"/>
        <w:ind w:firstLine="289"/>
        <w:jc w:val="both"/>
        <w:rPr>
          <w:rFonts w:cs="2  Mitra" w:hint="cs"/>
          <w:spacing w:val="-2"/>
          <w:sz w:val="28"/>
          <w:szCs w:val="28"/>
          <w:rtl/>
        </w:rPr>
      </w:pPr>
      <w:r>
        <w:rPr>
          <w:rFonts w:cs="2  Mitra" w:hint="cs"/>
          <w:spacing w:val="-2"/>
          <w:sz w:val="28"/>
          <w:szCs w:val="28"/>
          <w:rtl/>
        </w:rPr>
        <w:t>به عبارت ديگر: اين که مخصصات به نسبت به زمان ما پیش از فرا رسيدن وقت عمل وارد شده</w:t>
      </w:r>
      <w:r>
        <w:rPr>
          <w:rFonts w:cs="2  Mitra" w:hint="cs"/>
          <w:spacing w:val="-2"/>
          <w:sz w:val="28"/>
          <w:szCs w:val="28"/>
          <w:rtl/>
        </w:rPr>
        <w:softHyphen/>
        <w:t>اند، به اين معنا نيست که در اين زمان نتوان به «</w:t>
      </w:r>
      <w:r>
        <w:rPr>
          <w:rFonts w:cs="Abz-2 (Badr)" w:hint="cs"/>
          <w:spacing w:val="-2"/>
          <w:sz w:val="28"/>
          <w:szCs w:val="28"/>
          <w:rtl/>
        </w:rPr>
        <w:t>أصالة العموم</w:t>
      </w:r>
      <w:r>
        <w:rPr>
          <w:rFonts w:cs="2  Mitra" w:hint="cs"/>
          <w:spacing w:val="-2"/>
          <w:sz w:val="28"/>
          <w:szCs w:val="28"/>
          <w:rtl/>
        </w:rPr>
        <w:t>» تمسّک کرد، زيرا معنای عدم امکان عمل به اين اصل بعد از ورود مخصص اين نيست که بعد از گذشت زمانی که مخصص در آن صادر شده است، ديگر نتوان به «</w:t>
      </w:r>
      <w:r>
        <w:rPr>
          <w:rFonts w:cs="Abz-2 (Badr)" w:hint="cs"/>
          <w:spacing w:val="-2"/>
          <w:sz w:val="28"/>
          <w:szCs w:val="28"/>
          <w:rtl/>
        </w:rPr>
        <w:t>أصالة العموم</w:t>
      </w:r>
      <w:r>
        <w:rPr>
          <w:rFonts w:cs="2  Mitra" w:hint="cs"/>
          <w:spacing w:val="-2"/>
          <w:sz w:val="28"/>
          <w:szCs w:val="28"/>
          <w:rtl/>
        </w:rPr>
        <w:t>» عمل نمود، بلکه منظور اين است که بعد از رسيدن زمان عمل، چنانچه مخصصی به دست مکلف رسيده باشد، عمل به عموم دليل برای وی جايز نخواهد بود، اما معلوم است که پس از فحص و یأس از وجود مخصص، عمل به «</w:t>
      </w:r>
      <w:r>
        <w:rPr>
          <w:rFonts w:cs="Abz-2 (Badr)" w:hint="cs"/>
          <w:spacing w:val="-2"/>
          <w:sz w:val="28"/>
          <w:szCs w:val="28"/>
          <w:rtl/>
        </w:rPr>
        <w:t>أصالة العموم</w:t>
      </w:r>
      <w:r>
        <w:rPr>
          <w:rFonts w:cs="2  Mitra" w:hint="cs"/>
          <w:spacing w:val="-2"/>
          <w:sz w:val="28"/>
          <w:szCs w:val="28"/>
          <w:rtl/>
        </w:rPr>
        <w:t>» برای مکلف منعی نخواهد داشت.</w:t>
      </w:r>
    </w:p>
    <w:p w14:paraId="6FA38219" w14:textId="77777777" w:rsidR="00D81484" w:rsidRDefault="00D81484" w:rsidP="00D81484">
      <w:pPr>
        <w:widowControl w:val="0"/>
        <w:bidi/>
        <w:spacing w:before="240"/>
        <w:ind w:firstLine="289"/>
        <w:jc w:val="both"/>
        <w:rPr>
          <w:rFonts w:cs="2  Mitra" w:hint="cs"/>
          <w:sz w:val="28"/>
          <w:szCs w:val="28"/>
          <w:rtl/>
        </w:rPr>
      </w:pPr>
      <w:r>
        <w:rPr>
          <w:rFonts w:cs="2  Mitra" w:hint="cs"/>
          <w:sz w:val="28"/>
          <w:szCs w:val="28"/>
          <w:rtl/>
        </w:rPr>
        <w:t>ثانياً: بر اساس وجه دوم، مراد هیچ‌یک از دو فرضی که ایشان بیان کرده‌اند نیست، بلکه مقصود این است که با ورود خاص، قرینه‌ای پدید می‌آید مبنی بر اين که مراد جدّی از عام ـ يا از آغاز و يا از زمان ورود خاص ـ همان خاص بوده است. بنابر این دلالت عام بر خاص نه از آن جهت است که مدلول آن عام می‌باشد، بلکه به کمک قرینه است.</w:t>
      </w:r>
    </w:p>
    <w:p w14:paraId="6EC2DDA2" w14:textId="77777777" w:rsidR="00D81484" w:rsidRDefault="00D81484" w:rsidP="00D81484">
      <w:pPr>
        <w:widowControl w:val="0"/>
        <w:bidi/>
        <w:spacing w:before="240"/>
        <w:ind w:firstLine="289"/>
        <w:jc w:val="both"/>
        <w:rPr>
          <w:rFonts w:cs="2  Mitra" w:hint="cs"/>
          <w:sz w:val="28"/>
          <w:szCs w:val="28"/>
          <w:rtl/>
        </w:rPr>
      </w:pPr>
      <w:r>
        <w:rPr>
          <w:rFonts w:cs="2  Mitra" w:hint="cs"/>
          <w:sz w:val="28"/>
          <w:szCs w:val="28"/>
          <w:rtl/>
        </w:rPr>
        <w:t>بله، اشکالی که به توجيه مرحوم محقق اصفهانی وارد است اين که در فرض ورود مخصص پيش از وقت عمل، ايشان ورود مخصص را سبب تبيين موضوع حکم دانسته</w:t>
      </w:r>
      <w:r>
        <w:rPr>
          <w:rFonts w:cs="2  Mitra" w:hint="cs"/>
          <w:sz w:val="28"/>
          <w:szCs w:val="28"/>
          <w:rtl/>
        </w:rPr>
        <w:softHyphen/>
        <w:t>اند؛ در حالی که تخصيص سبب اخراج افراد تخصيص خورده از موضوع حکم عام نيست، بلکه فقط مستلزم اخراج حکمی آنهاست.</w:t>
      </w:r>
    </w:p>
    <w:p w14:paraId="44BD8710" w14:textId="77777777" w:rsidR="00D81484" w:rsidRDefault="00D81484" w:rsidP="00D81484">
      <w:pPr>
        <w:widowControl w:val="0"/>
        <w:bidi/>
        <w:spacing w:before="240"/>
        <w:ind w:firstLine="289"/>
        <w:jc w:val="both"/>
        <w:rPr>
          <w:rFonts w:cs="2  Mitra" w:hint="cs"/>
          <w:sz w:val="28"/>
          <w:szCs w:val="28"/>
          <w:rtl/>
          <w:lang w:bidi="fa-IR"/>
        </w:rPr>
      </w:pPr>
      <w:r>
        <w:rPr>
          <w:rFonts w:cs="2  Mitra" w:hint="cs"/>
          <w:sz w:val="28"/>
          <w:szCs w:val="28"/>
          <w:rtl/>
        </w:rPr>
        <w:t>بنابر اين بهتر است گفته شود: ورود مخصص سبب تبيين مراد جدی متکلم می</w:t>
      </w:r>
      <w:r>
        <w:rPr>
          <w:rFonts w:cs="2  Mitra" w:hint="cs"/>
          <w:sz w:val="28"/>
          <w:szCs w:val="28"/>
          <w:rtl/>
        </w:rPr>
        <w:softHyphen/>
        <w:t>شود به نحوی که معلوم می</w:t>
      </w:r>
      <w:r>
        <w:rPr>
          <w:rFonts w:cs="2  Mitra" w:hint="cs"/>
          <w:sz w:val="28"/>
          <w:szCs w:val="28"/>
          <w:rtl/>
        </w:rPr>
        <w:softHyphen/>
        <w:t>گردد در نظر وی، حکم در واقع بر افراد تخصيص خورده توسط مخصص مترتب نمی</w:t>
      </w:r>
      <w:r>
        <w:rPr>
          <w:rFonts w:cs="2  Mitra" w:hint="cs"/>
          <w:sz w:val="28"/>
          <w:szCs w:val="28"/>
          <w:rtl/>
        </w:rPr>
        <w:softHyphen/>
        <w:t>شود.</w:t>
      </w:r>
    </w:p>
    <w:p w14:paraId="35F34A5A" w14:textId="77777777" w:rsidR="00D81484" w:rsidRDefault="00D81484" w:rsidP="00D81484">
      <w:pPr>
        <w:widowControl w:val="0"/>
        <w:bidi/>
        <w:spacing w:before="240"/>
        <w:ind w:firstLine="289"/>
        <w:jc w:val="both"/>
        <w:rPr>
          <w:rFonts w:cs="2  Mitra" w:hint="cs"/>
          <w:sz w:val="28"/>
          <w:szCs w:val="28"/>
          <w:rtl/>
          <w:lang w:bidi="fa-IR"/>
        </w:rPr>
      </w:pPr>
      <w:r>
        <w:rPr>
          <w:rFonts w:cs="2  Mitra" w:hint="cs"/>
          <w:sz w:val="28"/>
          <w:szCs w:val="28"/>
          <w:rtl/>
          <w:lang w:bidi="fa-IR"/>
        </w:rPr>
        <w:t>اشکال توجيه ايشان در خصوص موردی که مخصص بعد از وقت عمل برسد را جلسه آينده مطرح خواهيم کرد ان شاء الله.</w:t>
      </w:r>
    </w:p>
    <w:bookmarkEnd w:id="1"/>
    <w:p w14:paraId="51783ADB" w14:textId="77777777" w:rsidR="00D81484" w:rsidRDefault="00D81484" w:rsidP="00D81484">
      <w:pPr>
        <w:rPr>
          <w:rFonts w:cs="2  Mitra" w:hint="cs"/>
          <w:color w:val="000000" w:themeColor="text1"/>
          <w:sz w:val="28"/>
          <w:szCs w:val="28"/>
          <w:rtl/>
        </w:rPr>
      </w:pPr>
      <w:r>
        <w:rPr>
          <w:rFonts w:cs="2  Mitra" w:hint="cs"/>
          <w:color w:val="000000" w:themeColor="text1"/>
          <w:sz w:val="28"/>
          <w:szCs w:val="28"/>
          <w:rtl/>
        </w:rPr>
        <w:br w:type="page"/>
      </w:r>
    </w:p>
    <w:p w14:paraId="0C76CD70" w14:textId="77777777" w:rsidR="00D81484" w:rsidRDefault="00D81484" w:rsidP="00D8148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ذکرنا في الجلسة السابقة إشكال المحقّق الإصفهاني على مدّعى الآخوند، كما بيّنّا جوابه عن ذلك الإشكال.</w:t>
      </w:r>
    </w:p>
    <w:p w14:paraId="44B3E80D" w14:textId="77777777" w:rsidR="00D81484" w:rsidRDefault="00D81484" w:rsidP="00D8148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إلّا أنّ السيّد الروحاني لم يعدّ جوابه رافعاً للإشكال وقال: إنّ لاستعمال العامّ في معنى العموم بلحاظ كونه قاعدة وجهين:</w:t>
      </w:r>
    </w:p>
    <w:p w14:paraId="44DA1490" w14:textId="77777777" w:rsidR="00D81484" w:rsidRDefault="00D81484" w:rsidP="00D8148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الوجه الأوّل: أن يكون الغرض منه إفادة الحجّيّة على العموم عند عدم ورود المخصّص؛ وهذا الوجه إنّما يتمّ في فرض وصول المخصّص بعد وقت العمل لا قبله ـ كما هو الغالب في زماننا ـ إذ أصالة العموم لا تجري قبل وقت العمل.</w:t>
      </w:r>
    </w:p>
    <w:p w14:paraId="7D53A9FB" w14:textId="77777777" w:rsidR="00D81484" w:rsidRDefault="00D81484" w:rsidP="00D8148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الوجه الثاني: أن يكون المراد به إفادة الحجّيّة في الباقي بعد ورود المخصّص؛ فإن أُريد من ذلك أنّ العامّ يستعمل في معنى العموم ولكن من حيث إنّ مدلوله عامّ، تكون حجّيّته منحصرة في مورد الخاصّ؛ فهذا ممّا لا يلتزم به أحد.</w:t>
      </w:r>
    </w:p>
    <w:p w14:paraId="0DAD01F1" w14:textId="77777777" w:rsidR="00D81484" w:rsidRDefault="00D81484" w:rsidP="00D8148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وإن أُريد أنّ العامّ يكون حجّة على مورد الخاصّ من جهة كون الخاصّ جزءاً من مدلوله، وأنّ دلالته عليه تكون بالدلالة التضمّنية، ففي هذه الصورة ـ مضافاً إلى لزوم لغويّة إيراد العامّ ابتداءً، لأنّ المتكلّم کان يتمکّن من الإتيان بالخاصّ من أوّل الأمر ـ تتوقّف تماميّة هذا الوجه على استقلال الدلالة التضمّنية في الحجّيّة عن الدلالة المطابقيّة، وهو خلاف مقتضى التحقيق.</w:t>
      </w:r>
      <w:r>
        <w:rPr>
          <w:rStyle w:val="FootnoteReference"/>
          <w:rFonts w:cs="Abz-2 (Badr)"/>
          <w:sz w:val="28"/>
          <w:szCs w:val="28"/>
          <w:rtl/>
        </w:rPr>
        <w:footnoteReference w:id="3"/>
      </w:r>
    </w:p>
    <w:p w14:paraId="4130227D" w14:textId="77777777" w:rsidR="00D81484" w:rsidRDefault="00D81484" w:rsidP="00D81484">
      <w:pPr>
        <w:widowControl w:val="0"/>
        <w:bidi/>
        <w:spacing w:after="0"/>
        <w:ind w:firstLine="284"/>
        <w:jc w:val="both"/>
        <w:rPr>
          <w:rFonts w:cs="Abz-2 (Badr)" w:hint="cs"/>
          <w:sz w:val="28"/>
          <w:szCs w:val="28"/>
          <w:rtl/>
        </w:rPr>
      </w:pPr>
      <w:r>
        <w:rPr>
          <w:rFonts w:cs="Abz-2 (Badr)" w:hint="cs"/>
          <w:sz w:val="28"/>
          <w:szCs w:val="28"/>
          <w:rtl/>
        </w:rPr>
        <w:t>وفيه أوّلاً: أنّه بناءً على الوجه الأوّل الذي ذكره، يمكن جعل القاعدة بواسطة العامّ؛ فإنّ عدم جريان أصالة العموم قبل حلول وقت العمل لا يستلزم عدم إمكان التمسّك بها بعد دخول وقت العمل وبعد الفحص عن المخصّص وعدم العثور عليه.</w:t>
      </w:r>
    </w:p>
    <w:p w14:paraId="6EA7E821" w14:textId="77777777" w:rsidR="00D81484" w:rsidRDefault="00D81484" w:rsidP="00D81484">
      <w:pPr>
        <w:widowControl w:val="0"/>
        <w:bidi/>
        <w:spacing w:after="0"/>
        <w:ind w:firstLine="284"/>
        <w:jc w:val="both"/>
        <w:rPr>
          <w:rFonts w:cs="Abz-2 (Badr)" w:hint="cs"/>
          <w:sz w:val="28"/>
          <w:szCs w:val="28"/>
          <w:rtl/>
        </w:rPr>
      </w:pPr>
      <w:r>
        <w:rPr>
          <w:rFonts w:cs="Abz-2 (Badr)" w:hint="cs"/>
          <w:sz w:val="28"/>
          <w:szCs w:val="28"/>
          <w:rtl/>
        </w:rPr>
        <w:t>وبعبارة أُخرى: إنّ ورود المخصّصات بالنسبة إلى زماننا قبل حلول وقت العمل، لا يقتضي عدم جواز التمسّك بأصالة العموم في هذا الزمان؛ لأنّ المقصود من عدم إمكان العمل بهذا الأصل بعد ورود المخصّص، ليس هو عدم جواز التمسّك بالعموم لمجرّد مضيّ زمان كان المخصّص قد صدر فيه، بل المراد أنّه بعد وصول وقت العمل، فإذا بلغ المكلّف مخصّص ما، لم يجز له العمل بعموم الدليل، وأمّا إذا فحص ولم يجد مخصّصاً ويئس من العثور عليه، فلا إشكال في جواز عمله بأصالة العموم حينئذٍ.</w:t>
      </w:r>
    </w:p>
    <w:p w14:paraId="3A812835" w14:textId="77777777" w:rsidR="00D81484" w:rsidRDefault="00D81484" w:rsidP="00D81484">
      <w:pPr>
        <w:widowControl w:val="0"/>
        <w:bidi/>
        <w:spacing w:after="0"/>
        <w:ind w:firstLine="284"/>
        <w:jc w:val="both"/>
        <w:rPr>
          <w:rFonts w:cs="Abz-2 (Badr)"/>
          <w:sz w:val="28"/>
          <w:szCs w:val="28"/>
        </w:rPr>
      </w:pPr>
      <w:r>
        <w:rPr>
          <w:rFonts w:cs="Abz-2 (Badr)" w:hint="cs"/>
          <w:sz w:val="28"/>
          <w:szCs w:val="28"/>
          <w:rtl/>
        </w:rPr>
        <w:t>ثانياً:</w:t>
      </w:r>
      <w:r>
        <w:rPr>
          <w:rFonts w:cs="Abz-2 (Badr)" w:hint="cs"/>
          <w:b/>
          <w:bCs/>
          <w:sz w:val="28"/>
          <w:szCs w:val="28"/>
          <w:rtl/>
        </w:rPr>
        <w:t xml:space="preserve"> </w:t>
      </w:r>
      <w:r>
        <w:rPr>
          <w:rFonts w:cs="Abz-2 (Badr)" w:hint="cs"/>
          <w:sz w:val="28"/>
          <w:szCs w:val="28"/>
          <w:rtl/>
        </w:rPr>
        <w:t xml:space="preserve">بناءً على الوجه الثاني، ليس المراد شيئاً من الفرضين اللذين ذكرهما، بل المقصود أنّه بوجود الخاصّ تتکوّن قرينة تكشف عن أنّ المراد الجدّي من العامّ ـ إمّا من أوّل الأمر أو من زمان ورود التخصيص ـ هو نفس مورد الخاصّ. وبناءً </w:t>
      </w:r>
      <w:r>
        <w:rPr>
          <w:rFonts w:cs="Abz-2 (Badr)" w:hint="cs"/>
          <w:sz w:val="28"/>
          <w:szCs w:val="28"/>
          <w:rtl/>
        </w:rPr>
        <w:lastRenderedPageBreak/>
        <w:t>على ذلك فدلالة العامّ على الخاصّ ليست من جهة كون مدلوله عامّاً، بل هي دلالة مستفادة من القرينة.</w:t>
      </w:r>
    </w:p>
    <w:p w14:paraId="07F05A97" w14:textId="77777777" w:rsidR="00D81484" w:rsidRDefault="00D81484" w:rsidP="00D81484">
      <w:pPr>
        <w:widowControl w:val="0"/>
        <w:bidi/>
        <w:spacing w:after="0"/>
        <w:ind w:firstLine="284"/>
        <w:jc w:val="both"/>
        <w:rPr>
          <w:rFonts w:cs="Abz-2 (Badr)"/>
          <w:sz w:val="28"/>
          <w:szCs w:val="28"/>
        </w:rPr>
      </w:pPr>
      <w:r>
        <w:rPr>
          <w:rFonts w:cs="Abz-2 (Badr)" w:hint="cs"/>
          <w:sz w:val="28"/>
          <w:szCs w:val="28"/>
          <w:rtl/>
        </w:rPr>
        <w:t>نعم، الإشكال الوارد على ما ذكره المحقّق الإصفهاني فيما إذا ورد المخصّص قبل وقت العمل هو أنّه عدّ ورود المخصّص سبباً لتبيين موضوع الحكم، مع أنّ التخصيص ليس موجباً لإخراج الأفراد المخصّصة عن موضوع الحكم العامّ، بل أقصى ما يقتضيه هو إخراجها حكماً فحسب.</w:t>
      </w:r>
    </w:p>
    <w:p w14:paraId="2AD00476" w14:textId="77777777" w:rsidR="00D81484" w:rsidRDefault="00D81484" w:rsidP="00D81484">
      <w:pPr>
        <w:widowControl w:val="0"/>
        <w:bidi/>
        <w:spacing w:after="0"/>
        <w:ind w:firstLine="284"/>
        <w:jc w:val="both"/>
        <w:rPr>
          <w:rFonts w:cs="Abz-2 (Badr)" w:hint="cs"/>
          <w:sz w:val="28"/>
          <w:szCs w:val="28"/>
          <w:rtl/>
        </w:rPr>
      </w:pPr>
      <w:r>
        <w:rPr>
          <w:rFonts w:cs="Abz-2 (Badr)" w:hint="cs"/>
          <w:sz w:val="28"/>
          <w:szCs w:val="28"/>
          <w:rtl/>
        </w:rPr>
        <w:t>وعليه فالأولى أن يقال: إنّ ورود المخصّص يعدّ قرينة على تبيين المراد الجدّي للمتكلّم بحيث يكشف عن أنّ الحكم في نظره غير مترتّب واقعاً على الأفراد التي المخصّصة.</w:t>
      </w:r>
    </w:p>
    <w:p w14:paraId="0947DFCA" w14:textId="77777777" w:rsidR="00D81484" w:rsidRDefault="00D81484" w:rsidP="00D81484">
      <w:pPr>
        <w:widowControl w:val="0"/>
        <w:bidi/>
        <w:spacing w:after="0"/>
        <w:ind w:firstLine="284"/>
        <w:jc w:val="both"/>
        <w:rPr>
          <w:rFonts w:cs="Abz-2 (Badr)" w:hint="cs"/>
          <w:sz w:val="28"/>
          <w:szCs w:val="28"/>
          <w:rtl/>
        </w:rPr>
      </w:pPr>
      <w:r>
        <w:rPr>
          <w:rFonts w:cs="Abz-2 (Badr)" w:hint="cs"/>
          <w:sz w:val="28"/>
          <w:szCs w:val="28"/>
          <w:rtl/>
        </w:rPr>
        <w:t xml:space="preserve">وأمّا الإشكال الوارد على توجيهه في صورة ورود المخصّص بعد وقت العمل، فسنطرحه في الجلسة القادمة إن شاء الله. </w:t>
      </w:r>
    </w:p>
    <w:p w14:paraId="7D9979DE" w14:textId="26D41A3F" w:rsidR="001B24FC" w:rsidRPr="00D81484" w:rsidRDefault="001B24FC" w:rsidP="00D81484">
      <w:pPr>
        <w:rPr>
          <w:rtl/>
        </w:rPr>
      </w:pPr>
    </w:p>
    <w:sectPr w:rsidR="001B24FC" w:rsidRPr="00D81484"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B0A78" w14:textId="77777777" w:rsidR="00027A3B" w:rsidRDefault="00027A3B" w:rsidP="00C336C5">
      <w:pPr>
        <w:spacing w:after="0" w:line="240" w:lineRule="auto"/>
      </w:pPr>
      <w:r>
        <w:separator/>
      </w:r>
    </w:p>
  </w:endnote>
  <w:endnote w:type="continuationSeparator" w:id="0">
    <w:p w14:paraId="75BBB525" w14:textId="77777777" w:rsidR="00027A3B" w:rsidRDefault="00027A3B" w:rsidP="00C336C5">
      <w:pPr>
        <w:spacing w:after="0" w:line="240" w:lineRule="auto"/>
      </w:pPr>
      <w:r>
        <w:continuationSeparator/>
      </w:r>
    </w:p>
  </w:endnote>
  <w:endnote w:type="continuationNotice" w:id="1">
    <w:p w14:paraId="3FABDD1A" w14:textId="77777777" w:rsidR="00027A3B" w:rsidRDefault="00027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D98DF" w14:textId="77777777" w:rsidR="00027A3B" w:rsidRDefault="00027A3B" w:rsidP="00C336C5">
      <w:pPr>
        <w:bidi/>
        <w:spacing w:after="0" w:line="240" w:lineRule="auto"/>
      </w:pPr>
      <w:r>
        <w:separator/>
      </w:r>
    </w:p>
  </w:footnote>
  <w:footnote w:type="continuationSeparator" w:id="0">
    <w:p w14:paraId="420A8F43" w14:textId="77777777" w:rsidR="00027A3B" w:rsidRDefault="00027A3B" w:rsidP="00C336C5">
      <w:pPr>
        <w:spacing w:after="0" w:line="240" w:lineRule="auto"/>
      </w:pPr>
      <w:r>
        <w:continuationSeparator/>
      </w:r>
    </w:p>
  </w:footnote>
  <w:footnote w:type="continuationNotice" w:id="1">
    <w:p w14:paraId="3098202F" w14:textId="77777777" w:rsidR="00027A3B" w:rsidRDefault="00027A3B">
      <w:pPr>
        <w:spacing w:after="0" w:line="240" w:lineRule="auto"/>
      </w:pPr>
    </w:p>
  </w:footnote>
  <w:footnote w:id="2">
    <w:p w14:paraId="2560EF59" w14:textId="77777777" w:rsidR="00D81484" w:rsidRDefault="00D81484" w:rsidP="00D81484">
      <w:pPr>
        <w:pStyle w:val="FootnoteText"/>
        <w:bidi/>
        <w:jc w:val="left"/>
        <w:rPr>
          <w:rFonts w:cs="Abz-2 (Badr)"/>
          <w:lang w:bidi="fa-IR"/>
        </w:rPr>
      </w:pPr>
      <w:r>
        <w:rPr>
          <w:rFonts w:cs="Abz-2 (Badr)"/>
          <w:lang w:bidi="fa-IR"/>
        </w:rPr>
        <w:footnoteRef/>
      </w:r>
      <w:r>
        <w:rPr>
          <w:rFonts w:cs="Abz-2 (Badr)" w:hint="cs"/>
          <w:rtl/>
          <w:lang w:bidi="fa-IR"/>
        </w:rPr>
        <w:t xml:space="preserve"> ـ راجع: منتقی الأُصول،ج3،ص307 و 308.</w:t>
      </w:r>
    </w:p>
  </w:footnote>
  <w:footnote w:id="3">
    <w:p w14:paraId="12CAEE32" w14:textId="77777777" w:rsidR="00D81484" w:rsidRDefault="00D81484" w:rsidP="00D81484">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راجع: منتقی الأُصول،ج3،ص307 و 308.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BABF548"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D81484">
                            <w:rPr>
                              <w:rFonts w:cs="B Mehr" w:hint="cs"/>
                              <w:rtl/>
                              <w:lang w:bidi="fa-IR"/>
                            </w:rPr>
                            <w:t>24</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BABF548"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D81484">
                      <w:rPr>
                        <w:rFonts w:cs="B Mehr" w:hint="cs"/>
                        <w:rtl/>
                        <w:lang w:bidi="fa-IR"/>
                      </w:rPr>
                      <w:t>24</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4107</TotalTime>
  <Pages>1</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1248</cp:revision>
  <cp:lastPrinted>2025-04-15T09:36:00Z</cp:lastPrinted>
  <dcterms:created xsi:type="dcterms:W3CDTF">2022-10-16T08:36:00Z</dcterms:created>
  <dcterms:modified xsi:type="dcterms:W3CDTF">2025-11-15T07:20:00Z</dcterms:modified>
</cp:coreProperties>
</file>