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8D145" w14:textId="77777777" w:rsidR="00761A25" w:rsidRDefault="00761A25" w:rsidP="00761A25">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21D10B07" w14:textId="77777777" w:rsidR="00761A25" w:rsidRDefault="00761A25" w:rsidP="00761A25">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6BA0BF8A" w14:textId="77777777" w:rsidR="00761A25" w:rsidRDefault="00761A25" w:rsidP="00761A25">
      <w:pPr>
        <w:widowControl w:val="0"/>
        <w:bidi/>
        <w:spacing w:after="240"/>
        <w:jc w:val="center"/>
        <w:rPr>
          <w:rFonts w:cs="B Mitra" w:hint="cs"/>
          <w:b/>
          <w:bCs/>
          <w:sz w:val="32"/>
          <w:szCs w:val="32"/>
          <w:rtl/>
          <w:lang w:bidi="fa-IR"/>
        </w:rPr>
      </w:pPr>
      <w:r>
        <w:rPr>
          <w:rFonts w:cs="B Mitra" w:hint="cs"/>
          <w:b/>
          <w:bCs/>
          <w:sz w:val="32"/>
          <w:szCs w:val="32"/>
          <w:rtl/>
          <w:lang w:bidi="fa-IR"/>
        </w:rPr>
        <w:t>جلسه 969</w:t>
      </w:r>
    </w:p>
    <w:bookmarkEnd w:id="0"/>
    <w:p w14:paraId="10E11396" w14:textId="77777777" w:rsidR="00761A25" w:rsidRDefault="00761A25" w:rsidP="00761A25">
      <w:pPr>
        <w:widowControl w:val="0"/>
        <w:bidi/>
        <w:spacing w:before="240" w:line="261" w:lineRule="auto"/>
        <w:ind w:firstLine="289"/>
        <w:jc w:val="both"/>
        <w:rPr>
          <w:rFonts w:cs="2  Mitra" w:hint="cs"/>
          <w:sz w:val="28"/>
          <w:szCs w:val="28"/>
          <w:rtl/>
        </w:rPr>
      </w:pPr>
    </w:p>
    <w:p w14:paraId="25B91E1C" w14:textId="77777777" w:rsidR="00761A25" w:rsidRDefault="00761A25" w:rsidP="00761A25">
      <w:pPr>
        <w:widowControl w:val="0"/>
        <w:bidi/>
        <w:spacing w:before="240" w:line="252" w:lineRule="auto"/>
        <w:ind w:firstLine="289"/>
        <w:jc w:val="both"/>
        <w:rPr>
          <w:rFonts w:cs="2  Mitra" w:hint="cs"/>
          <w:i/>
          <w:iCs/>
          <w:sz w:val="28"/>
          <w:szCs w:val="28"/>
          <w:rtl/>
        </w:rPr>
      </w:pPr>
      <w:r>
        <w:rPr>
          <w:rFonts w:cs="2  Mitra" w:hint="cs"/>
          <w:sz w:val="28"/>
          <w:szCs w:val="28"/>
          <w:rtl/>
        </w:rPr>
        <w:t>مرحوم محقق اصفهانی نيز بر اساس مبنایی که در بحث طلب و اراده اتخاذ کرده</w:t>
      </w:r>
      <w:r>
        <w:rPr>
          <w:rFonts w:cs="2  Mitra" w:hint="cs"/>
          <w:sz w:val="28"/>
          <w:szCs w:val="28"/>
          <w:rtl/>
        </w:rPr>
        <w:softHyphen/>
        <w:t>اند مبنی بر این که انشائات شارع متقوم به اراده تشریعیه نیست، اشکال ديگری بر مدعای مرحوم آخوند وارد کرده و فرموده</w:t>
      </w:r>
      <w:r>
        <w:rPr>
          <w:rFonts w:cs="2  Mitra" w:hint="cs"/>
          <w:sz w:val="28"/>
          <w:szCs w:val="28"/>
          <w:rtl/>
        </w:rPr>
        <w:softHyphen/>
        <w:t>اند: اگر انشائات شارع بر «اراده</w:t>
      </w:r>
      <w:r>
        <w:rPr>
          <w:rFonts w:cs="2  Mitra" w:hint="cs"/>
          <w:sz w:val="28"/>
          <w:szCs w:val="28"/>
          <w:rtl/>
        </w:rPr>
        <w:softHyphen/>
        <w:t>ی تشریعی» مبتنی نباشد، حجّیت آنها تنها از کاشفیت انشاء از بعث جدّی فهمیده می‌شود، و انشای واحدی که به موضوعات متعدّد تعلّق گرفته، چون به داعی بعث حقیقی صادر شده، منشأ انتزاع بعث حقیقی نسبت به هر یک از افراد خواهد بود. اما اگر بعث حقیقی در برخی افراد وجود داشته و در برخی ديگر موجود نباشد، لازمه آن صدور یک انشاء از دو داعی متفاوت</w:t>
      </w:r>
      <w:r>
        <w:rPr>
          <w:rFonts w:cs="2  Mitra" w:hint="cs"/>
          <w:sz w:val="28"/>
          <w:szCs w:val="28"/>
          <w:rtl/>
        </w:rPr>
        <w:br/>
        <w:t>ـ يعنی جعل قاعده و جعل داعی ـ بدون وجود جامع واحد در داعويت آنان است که امکان</w:t>
      </w:r>
      <w:r>
        <w:rPr>
          <w:rFonts w:cs="2  Mitra" w:hint="cs"/>
          <w:sz w:val="28"/>
          <w:szCs w:val="28"/>
          <w:cs/>
          <w:lang w:bidi="fa-IR"/>
        </w:rPr>
        <w:t>‎</w:t>
      </w:r>
      <w:r>
        <w:rPr>
          <w:rFonts w:cs="2  Mitra" w:hint="cs"/>
          <w:sz w:val="28"/>
          <w:szCs w:val="28"/>
          <w:rtl/>
        </w:rPr>
        <w:t>پذير نيست. بنابر اين پس از ورود مخصّص، روشن می‌شود که داعی، جعل قاعده بوده نه جعل داعی؛ لذا نه بعثی بر آن مترتب است و نه حجّیتی، زيرا گفتيم که حجّیت دليل متقوّم به کاشفیت آن از بعث است. همچنان که روشن است که انشائی که به یک داعی محقق شده، نمی</w:t>
      </w:r>
      <w:r>
        <w:rPr>
          <w:rFonts w:cs="2  Mitra" w:hint="cs"/>
          <w:sz w:val="28"/>
          <w:szCs w:val="28"/>
          <w:rtl/>
        </w:rPr>
        <w:softHyphen/>
        <w:t>تواند منقلب می‌شود به گونه</w:t>
      </w:r>
      <w:r>
        <w:rPr>
          <w:rFonts w:cs="2  Mitra" w:hint="cs"/>
          <w:sz w:val="28"/>
          <w:szCs w:val="28"/>
          <w:rtl/>
        </w:rPr>
        <w:softHyphen/>
        <w:t>ای که قبل از تخصیص، به داعی جعل قاعده و بعد از آن، به داعی بعث و تحریک باشد.</w:t>
      </w:r>
    </w:p>
    <w:p w14:paraId="49C4EFFD" w14:textId="77777777" w:rsidR="00761A25" w:rsidRDefault="00761A25" w:rsidP="00761A25">
      <w:pPr>
        <w:widowControl w:val="0"/>
        <w:bidi/>
        <w:spacing w:before="240" w:line="261" w:lineRule="auto"/>
        <w:ind w:firstLine="289"/>
        <w:jc w:val="both"/>
        <w:rPr>
          <w:rFonts w:cs="2  Mitra" w:hint="cs"/>
          <w:sz w:val="28"/>
          <w:szCs w:val="28"/>
          <w:rtl/>
        </w:rPr>
      </w:pPr>
      <w:r>
        <w:rPr>
          <w:rFonts w:cs="2  Mitra" w:hint="cs"/>
          <w:sz w:val="28"/>
          <w:szCs w:val="28"/>
          <w:rtl/>
        </w:rPr>
        <w:t>افزون بر این که ظاهر انشاء آن است که به داعی بعث صورت گرفته نه به داعی جعل قاعده. در نتیجه پس از ورود مخصّص، امر میان رفع يد از دو ظهور مردّد می‌شود؛ یا بايد از ظهور استعمالی در عموم دست برداریم و ظهور انشاء در بعث را حفظ کنیم، یا از ظهور آن در تحريک و بعث صرف‌نظر کرده و انشاء را بر جعل قاعده حمل کنیم؛ و در این میان هیچ مرجّحی برای تقدیم یکی بر دیگری وجود ندارد.</w:t>
      </w:r>
    </w:p>
    <w:p w14:paraId="23379241" w14:textId="77777777" w:rsidR="00761A25" w:rsidRDefault="00761A25" w:rsidP="00761A25">
      <w:pPr>
        <w:widowControl w:val="0"/>
        <w:bidi/>
        <w:spacing w:before="240" w:line="261" w:lineRule="auto"/>
        <w:ind w:firstLine="289"/>
        <w:jc w:val="both"/>
        <w:rPr>
          <w:rFonts w:cs="2  Mitra" w:hint="cs"/>
          <w:spacing w:val="-2"/>
          <w:sz w:val="28"/>
          <w:szCs w:val="28"/>
          <w:rtl/>
        </w:rPr>
      </w:pPr>
      <w:r>
        <w:rPr>
          <w:rFonts w:cs="2  Mitra" w:hint="cs"/>
          <w:spacing w:val="-2"/>
          <w:sz w:val="28"/>
          <w:szCs w:val="28"/>
          <w:rtl/>
        </w:rPr>
        <w:t>در ادامه ايشان در مقام دفع اين دو اشکال می</w:t>
      </w:r>
      <w:r>
        <w:rPr>
          <w:rFonts w:cs="2  Mitra" w:hint="cs"/>
          <w:spacing w:val="-2"/>
          <w:sz w:val="28"/>
          <w:szCs w:val="28"/>
          <w:rtl/>
        </w:rPr>
        <w:softHyphen/>
        <w:t>فرماید: مخصّص منفصل یا پیش از وقت حاجت وارد می‌شود یا پس از آن.</w:t>
      </w:r>
    </w:p>
    <w:p w14:paraId="25F29D2F" w14:textId="77777777" w:rsidR="00761A25" w:rsidRDefault="00761A25" w:rsidP="00761A25">
      <w:pPr>
        <w:widowControl w:val="0"/>
        <w:bidi/>
        <w:spacing w:before="240" w:line="261" w:lineRule="auto"/>
        <w:ind w:firstLine="289"/>
        <w:jc w:val="both"/>
        <w:rPr>
          <w:rFonts w:cs="2  Mitra" w:hint="cs"/>
          <w:sz w:val="28"/>
          <w:szCs w:val="28"/>
          <w:rtl/>
        </w:rPr>
      </w:pPr>
      <w:r>
        <w:rPr>
          <w:rFonts w:cs="2  Mitra" w:hint="cs"/>
          <w:sz w:val="28"/>
          <w:szCs w:val="28"/>
          <w:rtl/>
        </w:rPr>
        <w:t>اگر پیش از وقت حاجت بیاید، هرچند انشاء به داعی بعث جدّی صادر شده است، ولی اين بعث نسبت به موضوع آن می</w:t>
      </w:r>
      <w:r>
        <w:rPr>
          <w:rFonts w:cs="2  Mitra" w:hint="cs"/>
          <w:sz w:val="28"/>
          <w:szCs w:val="28"/>
          <w:rtl/>
        </w:rPr>
        <w:softHyphen/>
        <w:t>باشد که با دو کلام جداگانه تحدید و تعیّن یافته است، و چنانچه دانسته شود که عادت متکلّم این است که مقصود اختصاصی خود را با دو بیان منفصل افاده کند، ظهور کلام او در عموم، کاشف از مراد وی نخواهد بود.</w:t>
      </w:r>
    </w:p>
    <w:p w14:paraId="6784D82F" w14:textId="77777777" w:rsidR="00761A25" w:rsidRDefault="00761A25" w:rsidP="00761A25">
      <w:pPr>
        <w:widowControl w:val="0"/>
        <w:bidi/>
        <w:spacing w:before="240" w:line="261" w:lineRule="auto"/>
        <w:ind w:firstLine="289"/>
        <w:jc w:val="both"/>
        <w:rPr>
          <w:rFonts w:cs="2  Mitra" w:hint="cs"/>
          <w:sz w:val="28"/>
          <w:szCs w:val="28"/>
          <w:rtl/>
        </w:rPr>
      </w:pPr>
      <w:r>
        <w:rPr>
          <w:rFonts w:cs="2  Mitra" w:hint="cs"/>
          <w:sz w:val="28"/>
          <w:szCs w:val="28"/>
          <w:rtl/>
        </w:rPr>
        <w:lastRenderedPageBreak/>
        <w:t>و امّا اگر مخصّص پس از وقت حاجت برسد، انشاء نسبت به همه</w:t>
      </w:r>
      <w:r>
        <w:rPr>
          <w:rFonts w:cs="2  Mitra" w:hint="cs"/>
          <w:sz w:val="28"/>
          <w:szCs w:val="28"/>
          <w:rtl/>
        </w:rPr>
        <w:softHyphen/>
        <w:t>ی افراد به داعی بعث جدّی واقع شده است، غایت کلام اين است که این بعث، در برخی افراد عام، ناشی از مصالح واقعی اوّلیه و در برخی دیگر ناشی از مصالح ثانویه است، به گونه‌ای که با ورود مخصّص، مدت اعتبار آن مصالح ثانویه پایان می‌یابد.</w:t>
      </w:r>
      <w:r>
        <w:rPr>
          <w:rStyle w:val="FootnoteReference"/>
          <w:rFonts w:cs="2  Mitra"/>
          <w:sz w:val="28"/>
          <w:szCs w:val="28"/>
          <w:rtl/>
        </w:rPr>
        <w:footnoteReference w:id="2"/>
      </w:r>
    </w:p>
    <w:p w14:paraId="6E66612F" w14:textId="77777777" w:rsidR="00761A25" w:rsidRDefault="00761A25" w:rsidP="00761A25">
      <w:pPr>
        <w:widowControl w:val="0"/>
        <w:bidi/>
        <w:spacing w:before="240"/>
        <w:ind w:firstLine="289"/>
        <w:jc w:val="both"/>
        <w:rPr>
          <w:rFonts w:cs="2  Mitra" w:hint="cs"/>
          <w:sz w:val="28"/>
          <w:szCs w:val="28"/>
          <w:rtl/>
        </w:rPr>
      </w:pPr>
      <w:r>
        <w:rPr>
          <w:rFonts w:cs="2  Mitra" w:hint="cs"/>
          <w:sz w:val="28"/>
          <w:szCs w:val="28"/>
          <w:rtl/>
        </w:rPr>
        <w:t>اما مرحوم آيت الله روحانی اين پاسخ را رافع اشکال ندانسته</w:t>
      </w:r>
      <w:r>
        <w:rPr>
          <w:rFonts w:cs="2  Mitra" w:hint="cs"/>
          <w:sz w:val="28"/>
          <w:szCs w:val="28"/>
          <w:rtl/>
        </w:rPr>
        <w:softHyphen/>
        <w:t>اند و مدعای ايشان را جلسه آينده مطرح خواهيم کرد ان شاء الله.</w:t>
      </w:r>
    </w:p>
    <w:p w14:paraId="68AB274E" w14:textId="77777777" w:rsidR="00761A25" w:rsidRDefault="00761A25" w:rsidP="00761A25">
      <w:pPr>
        <w:rPr>
          <w:rFonts w:cs="2  Mitra" w:hint="cs"/>
          <w:sz w:val="28"/>
          <w:szCs w:val="28"/>
          <w:rtl/>
        </w:rPr>
      </w:pPr>
      <w:r>
        <w:rPr>
          <w:rFonts w:cs="2  Mitra" w:hint="cs"/>
          <w:sz w:val="28"/>
          <w:szCs w:val="28"/>
          <w:rtl/>
        </w:rPr>
        <w:br w:type="page"/>
      </w:r>
    </w:p>
    <w:p w14:paraId="090FD672" w14:textId="77777777" w:rsidR="00761A25" w:rsidRDefault="00761A25" w:rsidP="00761A25">
      <w:pPr>
        <w:widowControl w:val="0"/>
        <w:bidi/>
        <w:spacing w:after="0"/>
        <w:ind w:firstLine="289"/>
        <w:jc w:val="both"/>
        <w:rPr>
          <w:rFonts w:cs="Abz-2 (Badr)" w:hint="cs"/>
          <w:sz w:val="28"/>
          <w:szCs w:val="28"/>
          <w:rtl/>
        </w:rPr>
      </w:pPr>
      <w:r>
        <w:rPr>
          <w:rFonts w:cs="Abz-2 (Badr)" w:hint="cs"/>
          <w:sz w:val="28"/>
          <w:szCs w:val="28"/>
          <w:rtl/>
        </w:rPr>
        <w:lastRenderedPageBreak/>
        <w:t>أورد المحقّق الإصفهاني ـ بناءً على المبنى الذي تبنّاه في بحث الطلب والإرادة من أنّ إنشاءات الشارع غير متقوّمة بالإرادة التشريعيّة ـ إشكالاً آخر على مدّعى الآخوند، فقال: إن لم نر إنشاءات الشارع مبنيّة على إرادته التشريعيّة، كانت حجّيّتها مستفادة من مجرّد كاشفيّة الإنشاء عن البعث الجدّي، وحين يكون إنشاء واحد متعلّقاً بموضوعاتٍ متعدّدة، فإنّه ـ لصدوره بداعي البعث الحقيقي ـ يكون منشأً لانتزاع البعث الحقيقي بالنسبة إلى كلّ واحد من تلك الأفراد.</w:t>
      </w:r>
    </w:p>
    <w:p w14:paraId="3FA29799" w14:textId="77777777" w:rsidR="00761A25" w:rsidRDefault="00761A25" w:rsidP="00761A25">
      <w:pPr>
        <w:widowControl w:val="0"/>
        <w:bidi/>
        <w:spacing w:after="0"/>
        <w:ind w:firstLine="289"/>
        <w:jc w:val="both"/>
        <w:rPr>
          <w:rFonts w:cs="Abz-2 (Badr)" w:hint="cs"/>
          <w:sz w:val="28"/>
          <w:szCs w:val="28"/>
          <w:rtl/>
        </w:rPr>
      </w:pPr>
      <w:r>
        <w:rPr>
          <w:rFonts w:cs="Abz-2 (Badr)" w:hint="cs"/>
          <w:sz w:val="28"/>
          <w:szCs w:val="28"/>
          <w:rtl/>
        </w:rPr>
        <w:t>غير أنّه لو ثبت البعث الحقيقي في بعض الأفراد دون بعضها الآخر، لزم صدور إنشاء واحد بداعيين متغايرين: جعل القاعدة وجعل الداعي، مع أنّه لا جامع بينهما في الداعويّة، وهو غير ممکن.</w:t>
      </w:r>
    </w:p>
    <w:p w14:paraId="5B9EADA9" w14:textId="77777777" w:rsidR="00761A25" w:rsidRDefault="00761A25" w:rsidP="00761A25">
      <w:pPr>
        <w:widowControl w:val="0"/>
        <w:bidi/>
        <w:spacing w:after="0"/>
        <w:ind w:firstLine="289"/>
        <w:jc w:val="both"/>
        <w:rPr>
          <w:rFonts w:cs="Abz-2 (Badr)" w:hint="cs"/>
          <w:sz w:val="28"/>
          <w:szCs w:val="28"/>
          <w:rtl/>
        </w:rPr>
      </w:pPr>
      <w:r>
        <w:rPr>
          <w:rFonts w:cs="Abz-2 (Badr)" w:hint="cs"/>
          <w:sz w:val="28"/>
          <w:szCs w:val="28"/>
          <w:rtl/>
        </w:rPr>
        <w:t>فمقتضی ورود المخصّص انکشاف أنّ الداعي كان هو جعل القاعدة لا جعل الداعي؛ ولذلك لا يترتّب عليه بعث ولا حجّيّة، لأنّا قرّرنا أنّ حجّيّة الدليل متقوّمة بكاشفيّته عن البعث. وأمّا القول بانقلاب إنشاء صدر بداعٍ واحد بحيث يكون قبل التخصيص بداعي جعل القاعدة وبعده بداعي البعث والتحريك، فواضح الفساد.</w:t>
      </w:r>
    </w:p>
    <w:p w14:paraId="71790781" w14:textId="77777777" w:rsidR="00761A25" w:rsidRDefault="00761A25" w:rsidP="00761A25">
      <w:pPr>
        <w:widowControl w:val="0"/>
        <w:bidi/>
        <w:spacing w:after="0"/>
        <w:ind w:firstLine="289"/>
        <w:jc w:val="both"/>
        <w:rPr>
          <w:rFonts w:cs="Abz-2 (Badr)" w:hint="cs"/>
          <w:sz w:val="28"/>
          <w:szCs w:val="28"/>
          <w:rtl/>
        </w:rPr>
      </w:pPr>
      <w:r>
        <w:rPr>
          <w:rFonts w:cs="Abz-2 (Badr)" w:hint="cs"/>
          <w:sz w:val="28"/>
          <w:szCs w:val="28"/>
          <w:rtl/>
        </w:rPr>
        <w:t>علی أنّ ظاهر الإنشاء أنّه صدر بداعي البعث لا بداعي جعل القاعدة. وحينئذ فبعد ورود المخصّص، يتردّد الأمر بين رفع اليد عن أحد الظهورين: فإمّا أن نرفع اليد عن الظهور الاستعمالي في العموم ونحفظ ظهور الإنشاء في البعث، وإمّا أن نعرض عن ظهوره في التحريك والبعث ونحمله على جعل القاعدة، ولا مرجّح لتقديم أحد الظهورين على الآخر.</w:t>
      </w:r>
    </w:p>
    <w:p w14:paraId="4B21DB45" w14:textId="77777777" w:rsidR="00761A25" w:rsidRDefault="00761A25" w:rsidP="00761A25">
      <w:pPr>
        <w:widowControl w:val="0"/>
        <w:bidi/>
        <w:spacing w:after="0"/>
        <w:ind w:firstLine="289"/>
        <w:jc w:val="both"/>
        <w:rPr>
          <w:rFonts w:cs="Abz-2 (Badr)" w:hint="cs"/>
          <w:sz w:val="28"/>
          <w:szCs w:val="28"/>
          <w:rtl/>
        </w:rPr>
      </w:pPr>
      <w:r>
        <w:rPr>
          <w:rFonts w:cs="Abz-2 (Badr)" w:hint="cs"/>
          <w:sz w:val="28"/>
          <w:szCs w:val="28"/>
          <w:rtl/>
        </w:rPr>
        <w:t>ثمّ إنّه في مقام دفع هذين الإشكالين يقول: إنّ المخصّص المنفصل إمّا أن يرد قبل وقت الحاجة، وإمّا أن يرد بعده.</w:t>
      </w:r>
    </w:p>
    <w:p w14:paraId="6CE5C632" w14:textId="77777777" w:rsidR="00761A25" w:rsidRDefault="00761A25" w:rsidP="00761A25">
      <w:pPr>
        <w:widowControl w:val="0"/>
        <w:bidi/>
        <w:spacing w:after="0"/>
        <w:ind w:firstLine="289"/>
        <w:jc w:val="both"/>
        <w:rPr>
          <w:rFonts w:cs="Abz-2 (Badr)" w:hint="cs"/>
          <w:sz w:val="28"/>
          <w:szCs w:val="28"/>
          <w:rtl/>
        </w:rPr>
      </w:pPr>
      <w:r>
        <w:rPr>
          <w:rFonts w:cs="Abz-2 (Badr)" w:hint="cs"/>
          <w:sz w:val="28"/>
          <w:szCs w:val="28"/>
          <w:rtl/>
        </w:rPr>
        <w:t>فإن ورد قبل وقت الحاجة، فمع أنّ الإنشاء قد صدر بداعي البعث الجدّي، إلّا أنّ هذا البعث قد تعلّق بموضوع تحدّد وتعيّن بكلامين منفصلين؛ فإذا علم أنّ عادة المتكلّم إفادة مقاصده الاختصاصيّة ببيانين منفصلين، لم يكن ظهور كلامه في العموم كاشفاً عن مراده الجدّي.</w:t>
      </w:r>
    </w:p>
    <w:p w14:paraId="45F16E17" w14:textId="77777777" w:rsidR="00761A25" w:rsidRDefault="00761A25" w:rsidP="00761A25">
      <w:pPr>
        <w:widowControl w:val="0"/>
        <w:bidi/>
        <w:spacing w:after="0"/>
        <w:ind w:firstLine="289"/>
        <w:jc w:val="both"/>
        <w:rPr>
          <w:rFonts w:cs="2  Mitra" w:hint="cs"/>
          <w:sz w:val="28"/>
          <w:szCs w:val="28"/>
          <w:rtl/>
        </w:rPr>
      </w:pPr>
      <w:r>
        <w:rPr>
          <w:rFonts w:cs="Abz-2 (Badr)" w:hint="cs"/>
          <w:sz w:val="28"/>
          <w:szCs w:val="28"/>
          <w:rtl/>
        </w:rPr>
        <w:t>وأمّا إذا ورد المخصّص بعد وقت الحاجة، فالإنشاء بالنسبة إلى جميع الأفراد قد صدر بداعي البعث الجدّي، غاية الأمر أنّ هذا البعث في بعض أفراد العام ناشئ من المصالح الحقيقيّة الأوّليّة، وفي بعضها الآخر ناشئ من المصالح الثانويّة على نحو تنتهي مدّة اعتبار تلك المصالح الثانويّة بورود المخصّص.</w:t>
      </w:r>
      <w:r>
        <w:rPr>
          <w:rStyle w:val="FootnoteReference"/>
          <w:rFonts w:cs="Abz-2 (Badr)"/>
          <w:sz w:val="28"/>
          <w:szCs w:val="28"/>
          <w:rtl/>
        </w:rPr>
        <w:footnoteReference w:id="3"/>
      </w:r>
    </w:p>
    <w:p w14:paraId="5A1940FF" w14:textId="77777777" w:rsidR="00761A25" w:rsidRDefault="00761A25" w:rsidP="00761A25">
      <w:pPr>
        <w:widowControl w:val="0"/>
        <w:bidi/>
        <w:spacing w:after="0"/>
        <w:ind w:firstLine="289"/>
        <w:jc w:val="both"/>
        <w:rPr>
          <w:rFonts w:cs="Abz-2 (Badr)" w:hint="cs"/>
          <w:sz w:val="28"/>
          <w:szCs w:val="28"/>
          <w:rtl/>
        </w:rPr>
      </w:pPr>
      <w:r>
        <w:rPr>
          <w:rFonts w:cs="Abz-2 (Badr)" w:hint="cs"/>
          <w:sz w:val="28"/>
          <w:szCs w:val="28"/>
          <w:rtl/>
        </w:rPr>
        <w:t>غير أنّ السيّد الروحاني لم يعدّ هذا الجواب رافعاً للإشكال وسنعرض مدّعاه في الجلسة القادمة ان شاء الله.</w:t>
      </w:r>
    </w:p>
    <w:p w14:paraId="7D9979DE" w14:textId="26D41A3F" w:rsidR="001B24FC" w:rsidRPr="00761A25" w:rsidRDefault="001B24FC" w:rsidP="00761A25">
      <w:pPr>
        <w:rPr>
          <w:rtl/>
        </w:rPr>
      </w:pPr>
    </w:p>
    <w:sectPr w:rsidR="001B24FC" w:rsidRPr="00761A25"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3EE91" w14:textId="77777777" w:rsidR="00A132F2" w:rsidRDefault="00A132F2" w:rsidP="00C336C5">
      <w:pPr>
        <w:spacing w:after="0" w:line="240" w:lineRule="auto"/>
      </w:pPr>
      <w:r>
        <w:separator/>
      </w:r>
    </w:p>
  </w:endnote>
  <w:endnote w:type="continuationSeparator" w:id="0">
    <w:p w14:paraId="399E77A2" w14:textId="77777777" w:rsidR="00A132F2" w:rsidRDefault="00A132F2" w:rsidP="00C336C5">
      <w:pPr>
        <w:spacing w:after="0" w:line="240" w:lineRule="auto"/>
      </w:pPr>
      <w:r>
        <w:continuationSeparator/>
      </w:r>
    </w:p>
  </w:endnote>
  <w:endnote w:type="continuationNotice" w:id="1">
    <w:p w14:paraId="7DB33217" w14:textId="77777777" w:rsidR="00A132F2" w:rsidRDefault="00A13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F30C6" w14:textId="77777777" w:rsidR="00A132F2" w:rsidRDefault="00A132F2" w:rsidP="00C336C5">
      <w:pPr>
        <w:bidi/>
        <w:spacing w:after="0" w:line="240" w:lineRule="auto"/>
      </w:pPr>
      <w:r>
        <w:separator/>
      </w:r>
    </w:p>
  </w:footnote>
  <w:footnote w:type="continuationSeparator" w:id="0">
    <w:p w14:paraId="3EB0E635" w14:textId="77777777" w:rsidR="00A132F2" w:rsidRDefault="00A132F2" w:rsidP="00C336C5">
      <w:pPr>
        <w:spacing w:after="0" w:line="240" w:lineRule="auto"/>
      </w:pPr>
      <w:r>
        <w:continuationSeparator/>
      </w:r>
    </w:p>
  </w:footnote>
  <w:footnote w:type="continuationNotice" w:id="1">
    <w:p w14:paraId="72171A8C" w14:textId="77777777" w:rsidR="00A132F2" w:rsidRDefault="00A132F2">
      <w:pPr>
        <w:spacing w:after="0" w:line="240" w:lineRule="auto"/>
      </w:pPr>
    </w:p>
  </w:footnote>
  <w:footnote w:id="2">
    <w:p w14:paraId="15DF4BE8" w14:textId="77777777" w:rsidR="00761A25" w:rsidRDefault="00761A25" w:rsidP="00761A25">
      <w:pPr>
        <w:pStyle w:val="FootnoteText"/>
        <w:bidi/>
        <w:jc w:val="left"/>
        <w:rPr>
          <w:rFonts w:cs="Abz-2 (Badr)"/>
          <w:lang w:bidi="fa-IR"/>
        </w:rPr>
      </w:pPr>
      <w:r>
        <w:rPr>
          <w:rFonts w:cs="Abz-2 (Badr)"/>
          <w:lang w:bidi="fa-IR"/>
        </w:rPr>
        <w:footnoteRef/>
      </w:r>
      <w:r>
        <w:rPr>
          <w:rFonts w:cs="Abz-2 (Badr)" w:hint="cs"/>
          <w:rtl/>
          <w:lang w:bidi="fa-IR"/>
        </w:rPr>
        <w:t xml:space="preserve"> ـ راجع: نهاية الدراية،ج2،ص450 و 451.</w:t>
      </w:r>
    </w:p>
  </w:footnote>
  <w:footnote w:id="3">
    <w:p w14:paraId="326FD1E2" w14:textId="77777777" w:rsidR="00761A25" w:rsidRDefault="00761A25" w:rsidP="00761A2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الدراية،ج2،ص450 و 451.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F64FB8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761A25">
                            <w:rPr>
                              <w:rFonts w:cs="B Mehr" w:hint="cs"/>
                              <w:rtl/>
                              <w:lang w:bidi="fa-IR"/>
                            </w:rPr>
                            <w:t>چهار</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61A25">
                            <w:rPr>
                              <w:rFonts w:cs="B Mehr" w:hint="cs"/>
                              <w:rtl/>
                              <w:lang w:bidi="fa-IR"/>
                            </w:rPr>
                            <w:t>21</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F64FB8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761A25">
                      <w:rPr>
                        <w:rFonts w:cs="B Mehr" w:hint="cs"/>
                        <w:rtl/>
                        <w:lang w:bidi="fa-IR"/>
                      </w:rPr>
                      <w:t>چهار</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61A25">
                      <w:rPr>
                        <w:rFonts w:cs="B Mehr" w:hint="cs"/>
                        <w:rtl/>
                        <w:lang w:bidi="fa-IR"/>
                      </w:rPr>
                      <w:t>21</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4107</TotalTime>
  <Pages>1</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1246</cp:revision>
  <cp:lastPrinted>2025-04-15T09:36:00Z</cp:lastPrinted>
  <dcterms:created xsi:type="dcterms:W3CDTF">2022-10-16T08:36:00Z</dcterms:created>
  <dcterms:modified xsi:type="dcterms:W3CDTF">2025-11-15T07:13:00Z</dcterms:modified>
</cp:coreProperties>
</file>