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50DF7" w14:textId="77777777" w:rsidR="004A3A0B" w:rsidRDefault="004A3A0B" w:rsidP="004A3A0B">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F259599" w14:textId="77777777" w:rsidR="004A3A0B" w:rsidRDefault="004A3A0B" w:rsidP="004A3A0B">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7FE8D263" w14:textId="77777777" w:rsidR="004A3A0B" w:rsidRDefault="004A3A0B" w:rsidP="004A3A0B">
      <w:pPr>
        <w:widowControl w:val="0"/>
        <w:bidi/>
        <w:spacing w:after="240"/>
        <w:jc w:val="center"/>
        <w:rPr>
          <w:rFonts w:cs="B Mitra" w:hint="cs"/>
          <w:b/>
          <w:bCs/>
          <w:sz w:val="32"/>
          <w:szCs w:val="32"/>
          <w:rtl/>
          <w:lang w:bidi="fa-IR"/>
        </w:rPr>
      </w:pPr>
      <w:r>
        <w:rPr>
          <w:rFonts w:cs="B Mitra" w:hint="cs"/>
          <w:b/>
          <w:bCs/>
          <w:sz w:val="32"/>
          <w:szCs w:val="32"/>
          <w:rtl/>
          <w:lang w:bidi="fa-IR"/>
        </w:rPr>
        <w:t>جلسه 968</w:t>
      </w:r>
    </w:p>
    <w:bookmarkEnd w:id="0"/>
    <w:p w14:paraId="21DC2EEE" w14:textId="77777777" w:rsidR="004A3A0B" w:rsidRDefault="004A3A0B" w:rsidP="004A3A0B">
      <w:pPr>
        <w:widowControl w:val="0"/>
        <w:bidi/>
        <w:spacing w:before="240" w:line="261" w:lineRule="auto"/>
        <w:ind w:firstLine="289"/>
        <w:jc w:val="both"/>
        <w:rPr>
          <w:rFonts w:cs="2  Mitra" w:hint="cs"/>
          <w:sz w:val="28"/>
          <w:szCs w:val="28"/>
          <w:rtl/>
        </w:rPr>
      </w:pPr>
    </w:p>
    <w:p w14:paraId="170129D2" w14:textId="77777777" w:rsidR="004A3A0B" w:rsidRDefault="004A3A0B" w:rsidP="004A3A0B">
      <w:pPr>
        <w:widowControl w:val="0"/>
        <w:bidi/>
        <w:spacing w:before="240" w:line="249" w:lineRule="auto"/>
        <w:ind w:firstLine="289"/>
        <w:jc w:val="both"/>
        <w:rPr>
          <w:rFonts w:cs="2  Mitra" w:hint="cs"/>
          <w:spacing w:val="2"/>
          <w:sz w:val="28"/>
          <w:szCs w:val="28"/>
          <w:rtl/>
        </w:rPr>
      </w:pPr>
      <w:r>
        <w:rPr>
          <w:rFonts w:cs="2  Mitra" w:hint="cs"/>
          <w:spacing w:val="2"/>
          <w:sz w:val="28"/>
          <w:szCs w:val="28"/>
          <w:rtl/>
        </w:rPr>
        <w:t>گفتيم که مرحوم ميرزای نائینی فرموده</w:t>
      </w:r>
      <w:r>
        <w:rPr>
          <w:rFonts w:cs="2  Mitra" w:hint="cs"/>
          <w:spacing w:val="2"/>
          <w:sz w:val="28"/>
          <w:szCs w:val="28"/>
          <w:rtl/>
        </w:rPr>
        <w:softHyphen/>
        <w:t>اند که قول به عدم مطابقت «مراد جدی» و «مراد استعمالی»، در خصوص ادله شرعی قابل التزام نيست، چون لازمه آن قول به اين است که شارع در مقام هزل بوده است.</w:t>
      </w:r>
    </w:p>
    <w:p w14:paraId="22AE0A19"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اما معلوم است که چنين ادعایی قابل قبول نیست، زیرا عدم مطابقت مراد جدی با مراد استعمالی لزوماً به معنای اين نیست که متکلم در مقام هزل بوده است، بلکه مقام هزل یکی از مواردی است که در آن چنين حالتی وجود دارد و آن را به عنوان مثالی برای تفهیم عدم مطابقت مراد جدی و مراد استعمالی ذکر می</w:t>
      </w:r>
      <w:r>
        <w:rPr>
          <w:rFonts w:cs="2  Mitra" w:hint="cs"/>
          <w:sz w:val="28"/>
          <w:szCs w:val="28"/>
          <w:rtl/>
        </w:rPr>
        <w:softHyphen/>
        <w:t>کنند، نه اين که هر جا چنين انطباقی نباشد، لزوماً به معنای هازل بودن متکلم باشد، زيرا معلوم است که متکلم به جهات مختلف می</w:t>
      </w:r>
      <w:r>
        <w:rPr>
          <w:rFonts w:cs="2  Mitra" w:hint="cs"/>
          <w:sz w:val="28"/>
          <w:szCs w:val="28"/>
          <w:rtl/>
        </w:rPr>
        <w:softHyphen/>
        <w:t>تواند فاقد مراد جدی باشد در حالی که مراد استعمالی وی برقرار است، مثل مواردی که از روی اکراه، عقدی را جاری می</w:t>
      </w:r>
      <w:r>
        <w:rPr>
          <w:rFonts w:cs="2  Mitra" w:hint="cs"/>
          <w:sz w:val="28"/>
          <w:szCs w:val="28"/>
          <w:rtl/>
        </w:rPr>
        <w:softHyphen/>
        <w:t>سازد که گفته می</w:t>
      </w:r>
      <w:r>
        <w:rPr>
          <w:rFonts w:cs="2  Mitra" w:hint="cs"/>
          <w:sz w:val="28"/>
          <w:szCs w:val="28"/>
          <w:rtl/>
        </w:rPr>
        <w:softHyphen/>
        <w:t>شود به جهت وجود مراد استعمالی، عقد وی در صورت لحوق اجازه بعدی، صحیح خواهد بود، در حالی که اگر مراد استعمالی در حین عقد موجود نباشد ـ مثل موردی که در حال خواب الفاظ عقد را به زبان بياورد ـ تصحيح عقد با اجازه لاحق ممکن نخواهد بود.</w:t>
      </w:r>
    </w:p>
    <w:p w14:paraId="09C62C63"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بنابر اين می</w:t>
      </w:r>
      <w:r>
        <w:rPr>
          <w:rFonts w:cs="2  Mitra" w:hint="cs"/>
          <w:sz w:val="28"/>
          <w:szCs w:val="28"/>
          <w:rtl/>
        </w:rPr>
        <w:softHyphen/>
        <w:t>توان ملتزم شد که شارع به خاطر جهاتی که گاهی ممکن است برخی از آنها نيز برای ما معلوم باشد، ابتدا حکم را به نحو عموم بیان کرده است ـ که مرحوم آخوند از آن تعبير به «ضرب قاعده» نمود ـ در حالی که مراد جدی وی خاص بوده است، و سپس با دلیلی دیگر که متضمن خاص است، کشف از مراد جدی خود نموده است.</w:t>
      </w:r>
    </w:p>
    <w:p w14:paraId="12A19A80" w14:textId="77777777" w:rsidR="004A3A0B" w:rsidRDefault="004A3A0B" w:rsidP="004A3A0B">
      <w:pPr>
        <w:widowControl w:val="0"/>
        <w:bidi/>
        <w:spacing w:before="240"/>
        <w:ind w:firstLine="289"/>
        <w:jc w:val="both"/>
        <w:rPr>
          <w:rFonts w:cs="2  Mitra" w:hint="cs"/>
          <w:color w:val="000000" w:themeColor="text1"/>
          <w:sz w:val="28"/>
          <w:szCs w:val="28"/>
          <w:rtl/>
        </w:rPr>
      </w:pPr>
      <w:r>
        <w:rPr>
          <w:rFonts w:cs="2  Mitra" w:hint="cs"/>
          <w:color w:val="000000" w:themeColor="text1"/>
          <w:sz w:val="28"/>
          <w:szCs w:val="28"/>
          <w:rtl/>
        </w:rPr>
        <w:t xml:space="preserve">مرحوم میرزای نائینی در اشکالی دیگر، بر اساس حمل مدعای مرحوم آخوند بر این مبنا که عام در مقام جعل قاعده‌ای برای عمل به آن در موارد شک وارد شده است، می‌فرماید: گرچه گاهی عام برای بیان حکم در حالت شک و به عنوان قاعده کلی وارد می‌شود ـ مانند استصحاب و قاعده طهارت ـ اما تخصیص در این موارد بسیار نادر است و معمولاً تقدیم ادله بر آنها به صورت «ورود» یا «حکومت» است. اما عموماتی که برای بیان احکام واقعی اشیاء به عناوین اولیه جعل شده‌اند و علم و جهل مکلف در آنها دخيل نیست، عمل عرف به آنها در حالت شک از باب قاعده‌سازی توسط آن عمومات در ظرف شک </w:t>
      </w:r>
      <w:r>
        <w:rPr>
          <w:rFonts w:cs="2  Mitra" w:hint="cs"/>
          <w:color w:val="000000" w:themeColor="text1"/>
          <w:sz w:val="28"/>
          <w:szCs w:val="28"/>
          <w:rtl/>
        </w:rPr>
        <w:lastRenderedPageBreak/>
        <w:t>نیست، بلکه ناشی از اعتماد به ظهور و کشف اراده واقعی متکلم است. بنابر این نمی‌توان این عمومات را صرفاً در صدد جعل قاعده در ظرف شک دانست.</w:t>
      </w:r>
      <w:r>
        <w:rPr>
          <w:rStyle w:val="FootnoteReference"/>
          <w:rFonts w:cs="2  Mitra"/>
          <w:sz w:val="28"/>
          <w:szCs w:val="28"/>
          <w:rtl/>
        </w:rPr>
        <w:footnoteReference w:id="2"/>
      </w:r>
    </w:p>
    <w:p w14:paraId="5CB0CD61"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اما مرحوم آيت الله خوئی در پاسخ به این اشکال فرموده است: مقصود از جعل قاعده توسط عام آن نیست که حکم عام برای عمل به آن در ظرف شک جعل شده باشد تا اشکال مرحوم میرزای نائینی بر آن وارد گردد، بلکه مقصود این است که انگیزه‌ی استعمال عام در معنای موضوع‌له خود با وجود اين که اين مطلب مراد جدی متکلم نيست، صرف قانون‌گذاری و قاعده‌سازی است، به این معنا که عام، بیانگر مراد متکلم است مگر آن که قرینه‌ای بر تخصیص وجود داشته باشد. بنابر این در هر موردی که در تخصیص شک شود، به عموم عام رجوع می‌شود.</w:t>
      </w:r>
      <w:r>
        <w:rPr>
          <w:rStyle w:val="FootnoteReference"/>
          <w:rFonts w:cs="2  Mitra"/>
          <w:sz w:val="28"/>
          <w:szCs w:val="28"/>
          <w:rtl/>
        </w:rPr>
        <w:footnoteReference w:id="3"/>
      </w:r>
    </w:p>
    <w:p w14:paraId="05C3FAE0"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حق نيز در اين مطلب با مرحوم آيت الله خوئی است.</w:t>
      </w:r>
    </w:p>
    <w:p w14:paraId="4A7C27C9"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بیان مطلب اين است که گاهی همه‌ی افراد یک مفهوم ـ جز افراد معدودی ـ موضوع یک حکم قرار می‌گیرند؛ مانند آن که اکرام همه‌ی علما جز گروه اندکی از آنان مطلوب باشد. در این صورت می‌توان به دو شیوه عمل کرد:</w:t>
      </w:r>
    </w:p>
    <w:p w14:paraId="180F1DA4"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اول: هر یک از آن افراد را به صورت جداگانه در ادلّه‌ی مستقل موضوع حکم قرار دهیم؛ مثلاً بگوییم: «</w:t>
      </w:r>
      <w:r>
        <w:rPr>
          <w:rFonts w:cs="Abz-2 (Badr)" w:hint="cs"/>
          <w:sz w:val="28"/>
          <w:szCs w:val="28"/>
          <w:rtl/>
        </w:rPr>
        <w:t>أکرم زيداً العالم</w:t>
      </w:r>
      <w:r>
        <w:rPr>
          <w:rFonts w:cs="2  Mitra" w:hint="cs"/>
          <w:sz w:val="28"/>
          <w:szCs w:val="28"/>
          <w:rtl/>
        </w:rPr>
        <w:t>»، «</w:t>
      </w:r>
      <w:r>
        <w:rPr>
          <w:rFonts w:cs="Abz-2 (Badr)" w:hint="cs"/>
          <w:sz w:val="28"/>
          <w:szCs w:val="28"/>
          <w:rtl/>
        </w:rPr>
        <w:t>أکرم عمراً العالم</w:t>
      </w:r>
      <w:r>
        <w:rPr>
          <w:rFonts w:cs="2  Mitra" w:hint="cs"/>
          <w:sz w:val="28"/>
          <w:szCs w:val="28"/>
          <w:rtl/>
        </w:rPr>
        <w:t>»، «</w:t>
      </w:r>
      <w:r>
        <w:rPr>
          <w:rFonts w:cs="Abz-2 (Badr)" w:hint="cs"/>
          <w:sz w:val="28"/>
          <w:szCs w:val="28"/>
          <w:rtl/>
        </w:rPr>
        <w:t>أکرم بکراً العالم</w:t>
      </w:r>
      <w:r>
        <w:rPr>
          <w:rFonts w:cs="2  Mitra" w:hint="cs"/>
          <w:sz w:val="28"/>
          <w:szCs w:val="28"/>
          <w:rtl/>
        </w:rPr>
        <w:t>» و...</w:t>
      </w:r>
    </w:p>
    <w:p w14:paraId="16F0EB55" w14:textId="77777777" w:rsidR="004A3A0B" w:rsidRDefault="004A3A0B" w:rsidP="004A3A0B">
      <w:pPr>
        <w:widowControl w:val="0"/>
        <w:bidi/>
        <w:spacing w:before="240"/>
        <w:ind w:firstLine="289"/>
        <w:jc w:val="both"/>
        <w:rPr>
          <w:rFonts w:cs="2  Mitra" w:hint="cs"/>
          <w:sz w:val="28"/>
          <w:szCs w:val="28"/>
          <w:rtl/>
        </w:rPr>
      </w:pPr>
      <w:r>
        <w:rPr>
          <w:rFonts w:cs="2  Mitra" w:hint="cs"/>
          <w:sz w:val="28"/>
          <w:szCs w:val="28"/>
          <w:rtl/>
        </w:rPr>
        <w:t>بدیهی است که چنین روشی نزد عرف روش مطلوب و پسندیده‌ای نیست.</w:t>
      </w:r>
    </w:p>
    <w:p w14:paraId="3380CBAF" w14:textId="77777777" w:rsidR="004A3A0B" w:rsidRDefault="004A3A0B" w:rsidP="004A3A0B">
      <w:pPr>
        <w:widowControl w:val="0"/>
        <w:bidi/>
        <w:spacing w:before="240"/>
        <w:ind w:firstLine="289"/>
        <w:jc w:val="both"/>
        <w:rPr>
          <w:rFonts w:cs="2  Mitra"/>
          <w:sz w:val="28"/>
          <w:szCs w:val="28"/>
        </w:rPr>
      </w:pPr>
      <w:r>
        <w:rPr>
          <w:rFonts w:cs="2  Mitra" w:hint="cs"/>
          <w:sz w:val="28"/>
          <w:szCs w:val="28"/>
          <w:rtl/>
        </w:rPr>
        <w:t>دوم: حکم را به‌صورت یک قاعده‌ی کلی بیان کنیم و بگوییم: «</w:t>
      </w:r>
      <w:r>
        <w:rPr>
          <w:rFonts w:cs="Abz-2 (Badr)" w:hint="cs"/>
          <w:sz w:val="28"/>
          <w:szCs w:val="28"/>
          <w:rtl/>
        </w:rPr>
        <w:t>أکرم کلّ عالم</w:t>
      </w:r>
      <w:r>
        <w:rPr>
          <w:rFonts w:cs="2  Mitra" w:hint="cs"/>
          <w:sz w:val="28"/>
          <w:szCs w:val="28"/>
          <w:rtl/>
        </w:rPr>
        <w:t>»، و سپس در دلیلی دیگر کسانی از علما را که اکرام ایشان مطلوب نیست، از شمول این قاعده خارج سازیم.</w:t>
      </w:r>
    </w:p>
    <w:p w14:paraId="6F12CE11" w14:textId="77777777" w:rsidR="004A3A0B" w:rsidRDefault="004A3A0B" w:rsidP="004A3A0B">
      <w:pPr>
        <w:widowControl w:val="0"/>
        <w:bidi/>
        <w:spacing w:before="240"/>
        <w:ind w:firstLine="289"/>
        <w:jc w:val="both"/>
        <w:rPr>
          <w:rFonts w:cs="2  Mitra"/>
          <w:sz w:val="28"/>
          <w:szCs w:val="28"/>
        </w:rPr>
      </w:pPr>
      <w:r>
        <w:rPr>
          <w:rFonts w:cs="2  Mitra" w:hint="cs"/>
          <w:sz w:val="28"/>
          <w:szCs w:val="28"/>
          <w:rtl/>
        </w:rPr>
        <w:t xml:space="preserve">این روش هم عرفی است و هم التزام به آن در ادلّه‌ی شرعیه اشکالی ندارد و مراد از «بیان قاعده» در آن این نیست که متکلّم در پی جعل قانونی بوده است که هرگاه در این تردید کردیم که فردی از افراد عام است یا از افراد خاص، لازم باشد به آن قاعده عمل کنيم تا اشکال مرحوم میرزای نائینی بر آن وارد شود، بلکه مقصود این است که متکلّم برای رساندن مراد جدّی </w:t>
      </w:r>
      <w:r>
        <w:rPr>
          <w:rFonts w:cs="2  Mitra" w:hint="cs"/>
          <w:sz w:val="28"/>
          <w:szCs w:val="28"/>
          <w:rtl/>
        </w:rPr>
        <w:lastRenderedPageBreak/>
        <w:t>خود، نخست حکم را در قالب عام و به صورت قاعده بیان می‌کند، و سپس خاص را به عنوان قرینه‌ای برای کشف آن مراد و تعیین حدود آن مطرح می‌سازد.</w:t>
      </w:r>
    </w:p>
    <w:p w14:paraId="3F7845AE" w14:textId="77777777" w:rsidR="004A3A0B" w:rsidRDefault="004A3A0B" w:rsidP="004A3A0B">
      <w:pPr>
        <w:widowControl w:val="0"/>
        <w:bidi/>
        <w:spacing w:before="240"/>
        <w:ind w:firstLine="289"/>
        <w:jc w:val="both"/>
        <w:rPr>
          <w:rFonts w:cs="2  Mitra"/>
          <w:sz w:val="28"/>
          <w:szCs w:val="28"/>
        </w:rPr>
      </w:pPr>
      <w:r>
        <w:rPr>
          <w:rFonts w:cs="2  Mitra" w:hint="cs"/>
          <w:sz w:val="28"/>
          <w:szCs w:val="28"/>
          <w:rtl/>
        </w:rPr>
        <w:t>و نتيجه آن ـ همان گونه که مرحوم آيت الله خوئی فرموده</w:t>
      </w:r>
      <w:r>
        <w:rPr>
          <w:rFonts w:cs="2  Mitra" w:hint="cs"/>
          <w:sz w:val="28"/>
          <w:szCs w:val="28"/>
          <w:rtl/>
        </w:rPr>
        <w:softHyphen/>
        <w:t xml:space="preserve">اند ـ اين است که هرگاه شک کنیم که آیا موردی از مراد جدّی متکلّم خارج شده است یا نه، تا زمانی که دلیلی خاص بر خروج آن مورد از مراد جدّی وارد نشده باشد، به عموم عام رجوع می‌کنیم. </w:t>
      </w:r>
    </w:p>
    <w:p w14:paraId="04160672" w14:textId="77777777" w:rsidR="004A3A0B" w:rsidRDefault="004A3A0B" w:rsidP="004A3A0B">
      <w:pPr>
        <w:widowControl w:val="0"/>
        <w:bidi/>
        <w:spacing w:before="240"/>
        <w:ind w:firstLine="289"/>
        <w:jc w:val="both"/>
        <w:rPr>
          <w:rFonts w:cs="2  Mitra"/>
          <w:sz w:val="28"/>
          <w:szCs w:val="28"/>
        </w:rPr>
      </w:pPr>
      <w:r>
        <w:rPr>
          <w:rFonts w:cs="2  Mitra" w:hint="cs"/>
          <w:sz w:val="28"/>
          <w:szCs w:val="28"/>
          <w:rtl/>
        </w:rPr>
        <w:t>بقیه بحث را جلسه آينده پی می</w:t>
      </w:r>
      <w:r>
        <w:rPr>
          <w:rFonts w:cs="2  Mitra" w:hint="cs"/>
          <w:sz w:val="28"/>
          <w:szCs w:val="28"/>
          <w:rtl/>
        </w:rPr>
        <w:softHyphen/>
        <w:t>گيريم ان شاء الله.</w:t>
      </w:r>
    </w:p>
    <w:p w14:paraId="5C01FBE9" w14:textId="77777777" w:rsidR="004A3A0B" w:rsidRDefault="004A3A0B" w:rsidP="004A3A0B">
      <w:pPr>
        <w:rPr>
          <w:rFonts w:cs="2  Mitra" w:hint="cs"/>
          <w:sz w:val="28"/>
          <w:szCs w:val="28"/>
          <w:rtl/>
        </w:rPr>
      </w:pPr>
      <w:r>
        <w:rPr>
          <w:rFonts w:cs="2  Mitra" w:hint="cs"/>
          <w:sz w:val="28"/>
          <w:szCs w:val="28"/>
          <w:rtl/>
        </w:rPr>
        <w:br w:type="page"/>
      </w:r>
    </w:p>
    <w:p w14:paraId="5329F1D6" w14:textId="77777777" w:rsidR="004A3A0B" w:rsidRDefault="004A3A0B" w:rsidP="004A3A0B">
      <w:pPr>
        <w:widowControl w:val="0"/>
        <w:bidi/>
        <w:spacing w:after="0"/>
        <w:ind w:firstLine="289"/>
        <w:jc w:val="both"/>
        <w:rPr>
          <w:rFonts w:cs="Abz-2 (Badr)" w:hint="cs"/>
          <w:sz w:val="28"/>
          <w:szCs w:val="28"/>
          <w:rtl/>
        </w:rPr>
      </w:pPr>
      <w:r>
        <w:rPr>
          <w:rFonts w:cs="Abz-2 (Badr)" w:hint="cs"/>
          <w:sz w:val="28"/>
          <w:szCs w:val="28"/>
          <w:rtl/>
        </w:rPr>
        <w:lastRenderedPageBreak/>
        <w:t>قلنا في الجلسة السابقة: إنّ الميرزا النائيني ذكر أنّ القول بعدم مطابقة «المراد الجدّي» لـ «المراد الاستعمالي» في خصوص الأدلّة الشرعية، غير قابل للالتزام، إذ يلزم منه كون الشارع في مقام الهزل.</w:t>
      </w:r>
    </w:p>
    <w:p w14:paraId="0B2F7091"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غير أنّ من الواضح أنّ مثل هذا الادّعاء غير مقبول، لأنّ عدم مطابقة المراد الجدّي للمراد الاستعمالي لا يلازم بالضرورة كون المتكلّم في مقام الهزل، وإنّما يكون مقام الهزل أحد الموارد التي يتحقّق فيها ذلك ويذكر عادة مثالاً لتقريب معنى عدم التطابق، لا أنّ كلّ مورد ينتفي فيه التطابق، يلزم أن يكون المتكلّم فيه هازلاً. فإنّ من المعلوم أنّ المتكلّم قد يفتقد المراد الجدّي لأسباب مختلفة مع بقاء المراد الاستعمالي على حاله، کما إذا أنشأ عقداً تحت إلاكراه؛ فإنّه يقال: بما أنّ المراد الاستعمالي موجود، يصحّ العقد إذا لحقته الإجازة بعد ذلك. أمّا إذا فقد المراد الاستعمالي حين العقد ـ كما فيمن يتلفّظ به وهو نائم ـ فلا يمكن تصحيحه بالإجازة اللاحقة.</w:t>
      </w:r>
    </w:p>
    <w:p w14:paraId="35FE2BA4" w14:textId="77777777" w:rsidR="004A3A0B" w:rsidRDefault="004A3A0B" w:rsidP="004A3A0B">
      <w:pPr>
        <w:widowControl w:val="0"/>
        <w:bidi/>
        <w:spacing w:after="0"/>
        <w:ind w:firstLine="289"/>
        <w:jc w:val="both"/>
        <w:rPr>
          <w:rFonts w:cs="Abz-2 (Badr)" w:hint="cs"/>
          <w:sz w:val="28"/>
          <w:szCs w:val="28"/>
          <w:rtl/>
        </w:rPr>
      </w:pPr>
      <w:r>
        <w:rPr>
          <w:rFonts w:cs="Abz-2 (Badr)" w:hint="cs"/>
          <w:sz w:val="28"/>
          <w:szCs w:val="28"/>
          <w:rtl/>
        </w:rPr>
        <w:t>وعليه يمکن الالتزام بأنّ الشارع لجملة من الجهات التي قد يكون بعضها معلوماً لنا، قد يبتدئ ببيان الحكم على نحو العموم ـ وهو ما عبّر عنه الآخوند بـ «ضرب القاعدة» ـ مع كون مراده الجدّي خاصّاً، ثمّ يكشف عن مراده الجدّي بدليل آخر متضمّن للخاصّ.</w:t>
      </w:r>
    </w:p>
    <w:p w14:paraId="72DCF88F" w14:textId="77777777" w:rsidR="004A3A0B" w:rsidRDefault="004A3A0B" w:rsidP="004A3A0B">
      <w:pPr>
        <w:widowControl w:val="0"/>
        <w:bidi/>
        <w:spacing w:after="0"/>
        <w:ind w:firstLine="289"/>
        <w:jc w:val="both"/>
        <w:rPr>
          <w:rFonts w:cs="Abz-2 (Badr)" w:hint="cs"/>
          <w:sz w:val="28"/>
          <w:szCs w:val="28"/>
          <w:rtl/>
        </w:rPr>
      </w:pPr>
      <w:r>
        <w:rPr>
          <w:rFonts w:cs="Abz-2 (Badr)" w:hint="cs"/>
          <w:sz w:val="28"/>
          <w:szCs w:val="28"/>
          <w:rtl/>
        </w:rPr>
        <w:t xml:space="preserve">ثمّ إنّ الميرزا النائيني قد حمل دعوی الآخوند علی أنّ العامّ وارد في مقام جعل قاعدة يعمل بها في موارد الشكّ. وبناءً علی ذلك أورد </w:t>
      </w:r>
      <w:r>
        <w:rPr>
          <w:rFonts w:cs="Abz-2 (Badr)" w:hint="cs"/>
          <w:sz w:val="28"/>
          <w:szCs w:val="28"/>
          <w:rtl/>
          <w:lang w:bidi="fa-IR"/>
        </w:rPr>
        <w:t xml:space="preserve">عليه </w:t>
      </w:r>
      <w:r>
        <w:rPr>
          <w:rFonts w:cs="Abz-2 (Badr)" w:hint="cs"/>
          <w:sz w:val="28"/>
          <w:szCs w:val="28"/>
          <w:rtl/>
        </w:rPr>
        <w:t>بأنّه وإن كان العامّ قد يورد أحياناً لبيان الحكم في حال الشكّ وبعنوان القاعدة الكلّيّة ـ كأصل الاستصحاب وقاعدة الطهارة ـ إلّا أنّ التخصيص في مثل هذه الموارد نادر جدّاً، وغالباً ما يكون تقديم الأدلّة عليها من باب «الورود» أو «الحكومة».</w:t>
      </w:r>
    </w:p>
    <w:p w14:paraId="223878D1"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وأمّا العمومات التي جعلت لبيان الأحكام الواقعيّة للأشياء بعناوينها الأوّليّة بحيث لا يكون لعلم المكلّف وجهله دخل فيها، فإنّ عمل العرف بها عند الشكّ ليس من باب أنّ تلك العمومات صادرة لجعل قاعدة في ظرف الشكّ، بل من جهة الاعتماد على ظهورها وكشفها عن الإرادة الواقعيّة للمتكلّم.</w:t>
      </w:r>
    </w:p>
    <w:p w14:paraId="6B7FAEEF"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وبناءً على ذلك لا يمكن حمله هذه العمومات على ما ذكره الآخوند ولا عدّها مجرّد قواعد مجعولة لمرحلة الشكّ.</w:t>
      </w:r>
      <w:r>
        <w:rPr>
          <w:rStyle w:val="FootnoteReference"/>
          <w:rFonts w:cs="Abz-2 (Badr)"/>
          <w:sz w:val="28"/>
          <w:szCs w:val="28"/>
          <w:rtl/>
        </w:rPr>
        <w:footnoteReference w:id="4"/>
      </w:r>
    </w:p>
    <w:p w14:paraId="1C66EBD4"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 xml:space="preserve">ودفع السيّد الخوئي هذا الإشکال بقوله: إنّ المقصود من جعل القاعدة بواسطة العامّ ليس هو أنّ حكم العامّ مجعول </w:t>
      </w:r>
      <w:r>
        <w:rPr>
          <w:rFonts w:cs="Abz-2 (Badr)" w:hint="cs"/>
          <w:sz w:val="28"/>
          <w:szCs w:val="28"/>
          <w:rtl/>
        </w:rPr>
        <w:lastRenderedPageBreak/>
        <w:t>للعمل به في ظرف الشكّ لكي يرد عليه هذا الإشكال، بل المراد أنّ الداعي لاستعمال العامّ في معناه الموضوع له مع أنّه مخالف للمراد الجدّي للمتکلّم هو مجرّد التشريع وتقنين القاعدة، بمعنى أنّ العامّ يبيّن مراد المتکلّم الجدّي ما لم تقم قرينة على التخصيص. وبناءً على ذلك فكلّما شكّ في التخصيص، يرجع إلى عموم العامّ.</w:t>
      </w:r>
      <w:r>
        <w:rPr>
          <w:rStyle w:val="FootnoteReference"/>
          <w:rFonts w:cs="Abz-2 (Badr)"/>
          <w:sz w:val="28"/>
          <w:szCs w:val="28"/>
          <w:rtl/>
        </w:rPr>
        <w:footnoteReference w:id="5"/>
      </w:r>
    </w:p>
    <w:p w14:paraId="3371F829"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والحقّ في هذا الأمر مع السيّد الخوئي.</w:t>
      </w:r>
    </w:p>
    <w:p w14:paraId="364A160F" w14:textId="77777777" w:rsidR="004A3A0B" w:rsidRDefault="004A3A0B" w:rsidP="004A3A0B">
      <w:pPr>
        <w:widowControl w:val="0"/>
        <w:bidi/>
        <w:spacing w:after="0"/>
        <w:ind w:firstLine="289"/>
        <w:jc w:val="both"/>
        <w:rPr>
          <w:rFonts w:cs="Abz-2 (Badr)" w:hint="cs"/>
          <w:sz w:val="28"/>
          <w:szCs w:val="28"/>
          <w:rtl/>
        </w:rPr>
      </w:pPr>
      <w:r>
        <w:rPr>
          <w:rFonts w:cs="Abz-2 (Badr)" w:hint="cs"/>
          <w:sz w:val="28"/>
          <w:szCs w:val="28"/>
          <w:rtl/>
        </w:rPr>
        <w:t>بيان ذلك: أنّه قد تكون جميع أفراد مفهوم ما ـ ما عدا أفراد معدودين ـ موضوعاً لحكم معيّن؛ كما لو كان إكرام جميع العلماء باستثناء جماعة قليلة منهم مطلوباً. وفي مثل هذه الحال يمكن العمل على أحد وجهين:</w:t>
      </w:r>
    </w:p>
    <w:p w14:paraId="533D1D22"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الأوّل: أن يجعل كلّ واحد من أولئك الأفراد موضوعاً للحكم في دليل مستقلّ؛ فنقول مثلاً: «أكرم زيداً العالم»، «أكرم عمراً العالم»، «أكرم بكراً العالم»… ومن الواضح أنّ هذا الأُسلوب غير مرضيّ عند العرف ولا يعدّ طريقاً مناسباً للبيان.</w:t>
      </w:r>
    </w:p>
    <w:p w14:paraId="6A937977"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الثاني: أن يبيّن الحكم بصيغة قاعدة كلّيّة فيقال: «أكرم كلّ عالم»، ثمّ يخرج في دليل آخر بعض العلماء ـ الذين لا يكون إكرامهم مطلوباً ـ من تحت هذا العموم.</w:t>
      </w:r>
    </w:p>
    <w:p w14:paraId="36A7BB73"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هذا الأُسلوب عرفيّ تماماً ولا إشكال في الالتزام به في الأدلّة الشرعية.</w:t>
      </w:r>
    </w:p>
    <w:p w14:paraId="5BCEEFDC" w14:textId="77777777" w:rsidR="004A3A0B" w:rsidRDefault="004A3A0B" w:rsidP="004A3A0B">
      <w:pPr>
        <w:widowControl w:val="0"/>
        <w:bidi/>
        <w:spacing w:after="0"/>
        <w:ind w:firstLine="289"/>
        <w:jc w:val="both"/>
        <w:rPr>
          <w:rFonts w:cs="Abz-2 (Badr)" w:hint="cs"/>
          <w:sz w:val="28"/>
          <w:szCs w:val="28"/>
          <w:rtl/>
        </w:rPr>
      </w:pPr>
      <w:r>
        <w:rPr>
          <w:rFonts w:cs="Abz-2 (Badr)" w:hint="cs"/>
          <w:sz w:val="28"/>
          <w:szCs w:val="28"/>
          <w:rtl/>
        </w:rPr>
        <w:t>وليس المقصود من «بيان القاعدة» في هذا الأُسلوب أنّ المتكلّم بصدد جعل قانون يرجع إليه كلّما شكّ في أنّ فرداً ما من أفراد العامّ أو من أفراد الخاصّ لكي يرد عليه إشكال الميرزا النائيني، بل المراد أنّ المتكلّم لبيان مراده الجدّي يذکر الحكم أوّلاً بصيغة عامّة وبمثابة قاعدة كلّية، ثمّ يورد الخاصّ بعد ذلك ليکون قرينة على كشف المراد وتحديد حدوده.</w:t>
      </w:r>
    </w:p>
    <w:p w14:paraId="2CD4B6E5"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وثمرة هذا البناء ـ كما أفاده السيّد الخوئي ـ أنّه كلّما شكّ في خروج مورد من مراد المتكلّم الجدّي ولم يقم دليل خاصّ على خروجه، يرجع فيه إلى عموم العامّ.</w:t>
      </w:r>
    </w:p>
    <w:p w14:paraId="77793F36" w14:textId="77777777" w:rsidR="004A3A0B" w:rsidRDefault="004A3A0B" w:rsidP="004A3A0B">
      <w:pPr>
        <w:widowControl w:val="0"/>
        <w:bidi/>
        <w:spacing w:after="0"/>
        <w:ind w:firstLine="289"/>
        <w:jc w:val="both"/>
        <w:rPr>
          <w:rFonts w:cs="Abz-2 (Badr)"/>
          <w:sz w:val="28"/>
          <w:szCs w:val="28"/>
        </w:rPr>
      </w:pPr>
      <w:r>
        <w:rPr>
          <w:rFonts w:cs="Abz-2 (Badr)" w:hint="cs"/>
          <w:sz w:val="28"/>
          <w:szCs w:val="28"/>
          <w:rtl/>
        </w:rPr>
        <w:t>ونتابع بقيّة البحث في الجلسة القادمة إن شاء الله.</w:t>
      </w:r>
    </w:p>
    <w:p w14:paraId="7D9979DE" w14:textId="26D41A3F" w:rsidR="001B24FC" w:rsidRPr="004A3A0B" w:rsidRDefault="001B24FC" w:rsidP="004A3A0B">
      <w:pPr>
        <w:rPr>
          <w:rtl/>
        </w:rPr>
      </w:pPr>
    </w:p>
    <w:sectPr w:rsidR="001B24FC" w:rsidRPr="004A3A0B"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81089" w14:textId="77777777" w:rsidR="00126A8F" w:rsidRDefault="00126A8F" w:rsidP="00C336C5">
      <w:pPr>
        <w:spacing w:after="0" w:line="240" w:lineRule="auto"/>
      </w:pPr>
      <w:r>
        <w:separator/>
      </w:r>
    </w:p>
  </w:endnote>
  <w:endnote w:type="continuationSeparator" w:id="0">
    <w:p w14:paraId="4F31AF74" w14:textId="77777777" w:rsidR="00126A8F" w:rsidRDefault="00126A8F" w:rsidP="00C336C5">
      <w:pPr>
        <w:spacing w:after="0" w:line="240" w:lineRule="auto"/>
      </w:pPr>
      <w:r>
        <w:continuationSeparator/>
      </w:r>
    </w:p>
  </w:endnote>
  <w:endnote w:type="continuationNotice" w:id="1">
    <w:p w14:paraId="5EDA8837" w14:textId="77777777" w:rsidR="00126A8F" w:rsidRDefault="00126A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7AE4" w14:textId="77777777" w:rsidR="00126A8F" w:rsidRDefault="00126A8F" w:rsidP="00C336C5">
      <w:pPr>
        <w:bidi/>
        <w:spacing w:after="0" w:line="240" w:lineRule="auto"/>
      </w:pPr>
      <w:r>
        <w:separator/>
      </w:r>
    </w:p>
  </w:footnote>
  <w:footnote w:type="continuationSeparator" w:id="0">
    <w:p w14:paraId="300EDB5C" w14:textId="77777777" w:rsidR="00126A8F" w:rsidRDefault="00126A8F" w:rsidP="00C336C5">
      <w:pPr>
        <w:spacing w:after="0" w:line="240" w:lineRule="auto"/>
      </w:pPr>
      <w:r>
        <w:continuationSeparator/>
      </w:r>
    </w:p>
  </w:footnote>
  <w:footnote w:type="continuationNotice" w:id="1">
    <w:p w14:paraId="006604FB" w14:textId="77777777" w:rsidR="00126A8F" w:rsidRDefault="00126A8F">
      <w:pPr>
        <w:spacing w:after="0" w:line="240" w:lineRule="auto"/>
      </w:pPr>
    </w:p>
  </w:footnote>
  <w:footnote w:id="2">
    <w:p w14:paraId="017AFA86" w14:textId="77777777" w:rsidR="004A3A0B" w:rsidRDefault="004A3A0B" w:rsidP="004A3A0B">
      <w:pPr>
        <w:pStyle w:val="FootnoteText"/>
        <w:bidi/>
        <w:jc w:val="left"/>
        <w:rPr>
          <w:rFonts w:cs="Abz-2 (Badr)"/>
          <w:lang w:bidi="fa-IR"/>
        </w:rPr>
      </w:pPr>
      <w:r>
        <w:rPr>
          <w:rFonts w:cs="Abz-2 (Badr)"/>
          <w:lang w:bidi="fa-IR"/>
        </w:rPr>
        <w:footnoteRef/>
      </w:r>
      <w:r>
        <w:rPr>
          <w:rFonts w:cs="Abz-2 (Badr)" w:hint="cs"/>
          <w:rtl/>
          <w:lang w:bidi="fa-IR"/>
        </w:rPr>
        <w:t xml:space="preserve"> ـ راجع: همان،ص449.</w:t>
      </w:r>
    </w:p>
  </w:footnote>
  <w:footnote w:id="3">
    <w:p w14:paraId="65E99C8D" w14:textId="77777777" w:rsidR="004A3A0B" w:rsidRDefault="004A3A0B" w:rsidP="004A3A0B">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محاضرات في أُصول الفقه،ج4،ص325.</w:t>
      </w:r>
    </w:p>
  </w:footnote>
  <w:footnote w:id="4">
    <w:p w14:paraId="4E27BE11" w14:textId="77777777" w:rsidR="004A3A0B" w:rsidRDefault="004A3A0B" w:rsidP="004A3A0B">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همان،ص449.</w:t>
      </w:r>
    </w:p>
  </w:footnote>
  <w:footnote w:id="5">
    <w:p w14:paraId="65B3663E" w14:textId="77777777" w:rsidR="004A3A0B" w:rsidRDefault="004A3A0B" w:rsidP="004A3A0B">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محاضرات في أُصول الفقه،ج4،ص325.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365257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4A3A0B">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A3A0B">
                            <w:rPr>
                              <w:rFonts w:cs="B Mehr" w:hint="cs"/>
                              <w:rtl/>
                              <w:lang w:bidi="fa-IR"/>
                            </w:rPr>
                            <w:t>20</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365257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4A3A0B">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A3A0B">
                      <w:rPr>
                        <w:rFonts w:cs="B Mehr" w:hint="cs"/>
                        <w:rtl/>
                        <w:lang w:bidi="fa-IR"/>
                      </w:rPr>
                      <w:t>20</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26A8F"/>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3A0B"/>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031345484">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4108</TotalTime>
  <Pages>1</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1246</cp:revision>
  <cp:lastPrinted>2025-04-15T09:36:00Z</cp:lastPrinted>
  <dcterms:created xsi:type="dcterms:W3CDTF">2022-10-16T08:36:00Z</dcterms:created>
  <dcterms:modified xsi:type="dcterms:W3CDTF">2025-11-11T16:25:00Z</dcterms:modified>
</cp:coreProperties>
</file>