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9823A" w14:textId="77777777" w:rsidR="005C4967" w:rsidRDefault="005C4967" w:rsidP="005C4967">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5D45DEE8" w14:textId="77777777" w:rsidR="005C4967" w:rsidRDefault="005C4967" w:rsidP="005C4967">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5C856397" w14:textId="77777777" w:rsidR="005C4967" w:rsidRDefault="005C4967" w:rsidP="005C4967">
      <w:pPr>
        <w:widowControl w:val="0"/>
        <w:bidi/>
        <w:spacing w:after="240"/>
        <w:jc w:val="center"/>
        <w:rPr>
          <w:rFonts w:cs="B Mitra" w:hint="cs"/>
          <w:b/>
          <w:bCs/>
          <w:sz w:val="32"/>
          <w:szCs w:val="32"/>
          <w:rtl/>
          <w:lang w:bidi="fa-IR"/>
        </w:rPr>
      </w:pPr>
      <w:r>
        <w:rPr>
          <w:rFonts w:cs="B Mitra" w:hint="cs"/>
          <w:b/>
          <w:bCs/>
          <w:sz w:val="32"/>
          <w:szCs w:val="32"/>
          <w:rtl/>
          <w:lang w:bidi="fa-IR"/>
        </w:rPr>
        <w:t>جلسه 966</w:t>
      </w:r>
    </w:p>
    <w:bookmarkEnd w:id="0"/>
    <w:p w14:paraId="044A749F" w14:textId="77777777" w:rsidR="005C4967" w:rsidRDefault="005C4967" w:rsidP="005C4967">
      <w:pPr>
        <w:widowControl w:val="0"/>
        <w:bidi/>
        <w:spacing w:before="240" w:line="261" w:lineRule="auto"/>
        <w:ind w:firstLine="289"/>
        <w:jc w:val="both"/>
        <w:rPr>
          <w:rFonts w:cs="2  Mitra" w:hint="cs"/>
          <w:sz w:val="28"/>
          <w:szCs w:val="28"/>
          <w:rtl/>
        </w:rPr>
      </w:pPr>
    </w:p>
    <w:p w14:paraId="3768A64B" w14:textId="77777777" w:rsidR="005C4967" w:rsidRDefault="005C4967" w:rsidP="005C4967">
      <w:pPr>
        <w:widowControl w:val="0"/>
        <w:bidi/>
        <w:spacing w:before="240" w:line="268" w:lineRule="auto"/>
        <w:ind w:firstLine="289"/>
        <w:jc w:val="both"/>
        <w:rPr>
          <w:rFonts w:cs="2  Mitra" w:hint="cs"/>
          <w:spacing w:val="2"/>
          <w:sz w:val="28"/>
          <w:szCs w:val="28"/>
          <w:rtl/>
        </w:rPr>
      </w:pPr>
      <w:r>
        <w:rPr>
          <w:rFonts w:cs="2  Mitra" w:hint="cs"/>
          <w:spacing w:val="2"/>
          <w:sz w:val="28"/>
          <w:szCs w:val="28"/>
          <w:rtl/>
        </w:rPr>
        <w:t>گفتيم که توجيهی که مرحوم صاحب فصول از چرايی افاده عموم توسط جمع مضاف ارائه کرده</w:t>
      </w:r>
      <w:r>
        <w:rPr>
          <w:rFonts w:cs="2  Mitra" w:hint="cs"/>
          <w:spacing w:val="2"/>
          <w:sz w:val="28"/>
          <w:szCs w:val="28"/>
          <w:rtl/>
        </w:rPr>
        <w:softHyphen/>
        <w:t>اند، قابل التزام نيست.</w:t>
      </w:r>
    </w:p>
    <w:p w14:paraId="44C05D5E" w14:textId="77777777" w:rsidR="005C4967" w:rsidRDefault="005C4967" w:rsidP="005C4967">
      <w:pPr>
        <w:widowControl w:val="0"/>
        <w:bidi/>
        <w:spacing w:before="240" w:line="268" w:lineRule="auto"/>
        <w:ind w:firstLine="289"/>
        <w:jc w:val="both"/>
        <w:rPr>
          <w:rFonts w:cs="2  Mitra" w:hint="cs"/>
          <w:spacing w:val="2"/>
          <w:sz w:val="28"/>
          <w:szCs w:val="28"/>
          <w:rtl/>
        </w:rPr>
      </w:pPr>
      <w:r>
        <w:rPr>
          <w:rFonts w:cs="2  Mitra" w:hint="cs"/>
          <w:spacing w:val="2"/>
          <w:sz w:val="28"/>
          <w:szCs w:val="28"/>
          <w:rtl/>
        </w:rPr>
        <w:t>بنابر اين در توجيه اين امر بايد گفت: اضافه صيغه جمع به مضاف اليه معرفه، به اين معناست که بخشی از افراد گروهی که آن بخش شامل افراد متعددی است، لحاظ شده است و برای تعيين آن بخش، اضافه به مضاف اليه انجام پذيرفته است. بنابر اين اضافه در حکم اين است که لام عهد بر سر مضاف وارد شده باشد و مثلاً به جای «</w:t>
      </w:r>
      <w:r>
        <w:rPr>
          <w:rFonts w:cs="Abz-2 (Badr)" w:hint="cs"/>
          <w:spacing w:val="2"/>
          <w:sz w:val="28"/>
          <w:szCs w:val="28"/>
          <w:rtl/>
        </w:rPr>
        <w:t>علماء البلد الفلاني</w:t>
      </w:r>
      <w:r>
        <w:rPr>
          <w:rFonts w:cs="2  Mitra" w:hint="cs"/>
          <w:spacing w:val="2"/>
          <w:sz w:val="28"/>
          <w:szCs w:val="28"/>
          <w:rtl/>
        </w:rPr>
        <w:t>» گفته شود: «</w:t>
      </w:r>
      <w:r>
        <w:rPr>
          <w:rFonts w:cs="Abz-2 (Badr)" w:hint="cs"/>
          <w:spacing w:val="2"/>
          <w:sz w:val="28"/>
          <w:szCs w:val="28"/>
          <w:rtl/>
        </w:rPr>
        <w:t>العلماء</w:t>
      </w:r>
      <w:r>
        <w:rPr>
          <w:rFonts w:cs="2  Mitra" w:hint="cs"/>
          <w:spacing w:val="2"/>
          <w:sz w:val="28"/>
          <w:szCs w:val="28"/>
          <w:rtl/>
        </w:rPr>
        <w:t>»، زيرا همان گونه که کارکرد لام عهد اين است که مدخول خود را متعيّن در فرد یا گروهی خاص می</w:t>
      </w:r>
      <w:r>
        <w:rPr>
          <w:rFonts w:cs="2  Mitra" w:hint="cs"/>
          <w:spacing w:val="2"/>
          <w:sz w:val="28"/>
          <w:szCs w:val="28"/>
          <w:rtl/>
        </w:rPr>
        <w:softHyphen/>
        <w:t>کند، کارکرد اضافه نيز همين است.</w:t>
      </w:r>
    </w:p>
    <w:p w14:paraId="22CABBFD" w14:textId="77777777" w:rsidR="005C4967" w:rsidRDefault="005C4967" w:rsidP="005C4967">
      <w:pPr>
        <w:widowControl w:val="0"/>
        <w:bidi/>
        <w:spacing w:before="240" w:line="252" w:lineRule="auto"/>
        <w:ind w:firstLine="289"/>
        <w:jc w:val="both"/>
        <w:rPr>
          <w:rFonts w:cs="2  Mitra" w:hint="cs"/>
          <w:sz w:val="28"/>
          <w:szCs w:val="28"/>
          <w:rtl/>
        </w:rPr>
      </w:pPr>
      <w:r>
        <w:rPr>
          <w:rFonts w:cs="2  Mitra" w:hint="cs"/>
          <w:sz w:val="28"/>
          <w:szCs w:val="28"/>
          <w:rtl/>
        </w:rPr>
        <w:t>در نتيجه افاده عموم توسط جمع مضاف در اين صورت به همان جهتی است که سابقاً گذشت مبنی بر اين که ورود لام بر سر صيغه جمع ـ ولو لام عهد ـ سبب عموم مدخول لام می</w:t>
      </w:r>
      <w:r>
        <w:rPr>
          <w:rFonts w:cs="2  Mitra" w:hint="cs"/>
          <w:sz w:val="28"/>
          <w:szCs w:val="28"/>
          <w:rtl/>
        </w:rPr>
        <w:softHyphen/>
        <w:t>شود.</w:t>
      </w:r>
    </w:p>
    <w:p w14:paraId="569A8E68" w14:textId="77777777" w:rsidR="005C4967" w:rsidRDefault="005C4967" w:rsidP="005C4967">
      <w:pPr>
        <w:widowControl w:val="0"/>
        <w:bidi/>
        <w:spacing w:before="240" w:line="252" w:lineRule="auto"/>
        <w:ind w:firstLine="289"/>
        <w:jc w:val="both"/>
        <w:rPr>
          <w:rFonts w:cs="2  Mitra" w:hint="cs"/>
          <w:sz w:val="28"/>
          <w:szCs w:val="28"/>
          <w:rtl/>
        </w:rPr>
      </w:pPr>
      <w:r>
        <w:rPr>
          <w:rFonts w:cs="2  Mitra" w:hint="cs"/>
          <w:sz w:val="28"/>
          <w:szCs w:val="28"/>
          <w:rtl/>
        </w:rPr>
        <w:t>اما در توجيه افاده عموم توسط صيغه جمع مضاف به نکره، می</w:t>
      </w:r>
      <w:r>
        <w:rPr>
          <w:rFonts w:cs="2  Mitra" w:hint="cs"/>
          <w:sz w:val="28"/>
          <w:szCs w:val="28"/>
          <w:rtl/>
        </w:rPr>
        <w:softHyphen/>
        <w:t>توان اين گونه گفت که هرچند در اين صورت ابهام از حيث مضاف اليه باقی است، اما اضافه جمع به نکره در حکم اين است که به مخاطب گفته شود که متکلم آحاد افراد جمعی را لحاظ کرده است که تعيين آنها از حيث مضاف اليه، در اختيار خود تو می</w:t>
      </w:r>
      <w:r>
        <w:rPr>
          <w:rFonts w:cs="2  Mitra" w:hint="cs"/>
          <w:sz w:val="28"/>
          <w:szCs w:val="28"/>
          <w:rtl/>
        </w:rPr>
        <w:softHyphen/>
        <w:t>باشد. بنابر اين «</w:t>
      </w:r>
      <w:r>
        <w:rPr>
          <w:rFonts w:cs="Abz-2 (Badr)" w:hint="cs"/>
          <w:sz w:val="28"/>
          <w:szCs w:val="28"/>
          <w:rtl/>
        </w:rPr>
        <w:t>علماء بلد</w:t>
      </w:r>
      <w:r>
        <w:rPr>
          <w:rFonts w:cs="2  Mitra" w:hint="cs"/>
          <w:sz w:val="28"/>
          <w:szCs w:val="28"/>
          <w:rtl/>
        </w:rPr>
        <w:t>» در حکم «</w:t>
      </w:r>
      <w:r>
        <w:rPr>
          <w:rFonts w:cs="Abz-2 (Badr)" w:hint="cs"/>
          <w:sz w:val="28"/>
          <w:szCs w:val="28"/>
          <w:rtl/>
        </w:rPr>
        <w:t>العلماء من أيّ بلد شئت</w:t>
      </w:r>
      <w:r>
        <w:rPr>
          <w:rFonts w:cs="2  Mitra" w:hint="cs"/>
          <w:sz w:val="28"/>
          <w:szCs w:val="28"/>
          <w:rtl/>
        </w:rPr>
        <w:t>» می</w:t>
      </w:r>
      <w:r>
        <w:rPr>
          <w:rFonts w:cs="2  Mitra" w:hint="cs"/>
          <w:sz w:val="28"/>
          <w:szCs w:val="28"/>
          <w:rtl/>
        </w:rPr>
        <w:softHyphen/>
        <w:t>باشد که در نتيجه از حيث مضاف دارای عموم استغراقی و از حيث مضاف اليه دارای عموم بدلی است.</w:t>
      </w:r>
    </w:p>
    <w:p w14:paraId="02562026" w14:textId="77777777" w:rsidR="005C4967" w:rsidRDefault="005C4967" w:rsidP="005C4967">
      <w:pPr>
        <w:widowControl w:val="0"/>
        <w:bidi/>
        <w:spacing w:before="240" w:line="252" w:lineRule="auto"/>
        <w:ind w:firstLine="289"/>
        <w:jc w:val="both"/>
        <w:rPr>
          <w:rFonts w:cs="2  Mitra" w:hint="cs"/>
          <w:sz w:val="28"/>
          <w:szCs w:val="28"/>
          <w:rtl/>
        </w:rPr>
      </w:pPr>
      <w:r>
        <w:rPr>
          <w:rFonts w:cs="2  Mitra" w:hint="cs"/>
          <w:sz w:val="28"/>
          <w:szCs w:val="28"/>
          <w:rtl/>
        </w:rPr>
        <w:t>البته، معلوم است که عموم بدلی آن از ناحیه</w:t>
      </w:r>
      <w:r>
        <w:rPr>
          <w:rFonts w:cs="2  Mitra" w:hint="cs"/>
          <w:sz w:val="28"/>
          <w:szCs w:val="28"/>
          <w:rtl/>
        </w:rPr>
        <w:softHyphen/>
        <w:t>ی اطلاق است نه از ناحیه</w:t>
      </w:r>
      <w:r>
        <w:rPr>
          <w:rFonts w:cs="2  Mitra" w:hint="cs"/>
          <w:sz w:val="28"/>
          <w:szCs w:val="28"/>
          <w:rtl/>
        </w:rPr>
        <w:softHyphen/>
        <w:t>ی عموم لفظی؛ زیرا این‌که تعیین مضاف‌إلیه به دست مخاطب باشد، از طریق نفی خصوصیت از آن با تمسّک به مقدّمات حکمت به‌دست می‌آید.</w:t>
      </w:r>
    </w:p>
    <w:p w14:paraId="3D1C08A7" w14:textId="77777777" w:rsidR="005C4967" w:rsidRDefault="005C4967" w:rsidP="005C4967">
      <w:pPr>
        <w:widowControl w:val="0"/>
        <w:bidi/>
        <w:spacing w:before="240" w:line="252" w:lineRule="auto"/>
        <w:ind w:firstLine="289"/>
        <w:jc w:val="both"/>
        <w:rPr>
          <w:rFonts w:cs="2  Mitra" w:hint="cs"/>
          <w:spacing w:val="6"/>
          <w:sz w:val="28"/>
          <w:szCs w:val="28"/>
          <w:rtl/>
        </w:rPr>
      </w:pPr>
      <w:r>
        <w:rPr>
          <w:rFonts w:cs="2  Mitra" w:hint="cs"/>
          <w:spacing w:val="6"/>
          <w:sz w:val="28"/>
          <w:szCs w:val="28"/>
          <w:rtl/>
        </w:rPr>
        <w:t xml:space="preserve">اما در خصوص مفرد مضاف به معرفه، کارکرد اضافه اين است که آن را متعيّن در فردی خاص کند و از ابهام خارج </w:t>
      </w:r>
      <w:r>
        <w:rPr>
          <w:rFonts w:cs="2  Mitra" w:hint="cs"/>
          <w:spacing w:val="6"/>
          <w:sz w:val="28"/>
          <w:szCs w:val="28"/>
          <w:rtl/>
        </w:rPr>
        <w:lastRenderedPageBreak/>
        <w:t>سازد. در نتيجه در اين مورد نيز کارکرد آن با کارکرد لام عهد يکی است و «</w:t>
      </w:r>
      <w:r>
        <w:rPr>
          <w:rFonts w:cs="Abz-2 (Badr)" w:hint="cs"/>
          <w:spacing w:val="6"/>
          <w:sz w:val="28"/>
          <w:szCs w:val="28"/>
          <w:rtl/>
        </w:rPr>
        <w:t>غلام زيد</w:t>
      </w:r>
      <w:r>
        <w:rPr>
          <w:rFonts w:cs="2  Mitra" w:hint="cs"/>
          <w:spacing w:val="6"/>
          <w:sz w:val="28"/>
          <w:szCs w:val="28"/>
          <w:rtl/>
        </w:rPr>
        <w:t>» در حکم «</w:t>
      </w:r>
      <w:r>
        <w:rPr>
          <w:rFonts w:cs="Abz-2 (Badr)" w:hint="cs"/>
          <w:spacing w:val="6"/>
          <w:sz w:val="28"/>
          <w:szCs w:val="28"/>
          <w:rtl/>
        </w:rPr>
        <w:t>الغلام</w:t>
      </w:r>
      <w:r>
        <w:rPr>
          <w:rFonts w:cs="2  Mitra" w:hint="cs"/>
          <w:spacing w:val="6"/>
          <w:sz w:val="28"/>
          <w:szCs w:val="28"/>
          <w:rtl/>
        </w:rPr>
        <w:t>» است. و چون در خصوص ورود لام بر سر اسم مفرد، گفتيم که افاده عموم توسط آن فقط در صورتی است که لام، لام استغراق باشد و در باقی اقسام لام، افاده عموم در صورت ورود آن بر سر اسم مفرد انجام نمی</w:t>
      </w:r>
      <w:r>
        <w:rPr>
          <w:rFonts w:cs="2  Mitra" w:hint="cs"/>
          <w:spacing w:val="6"/>
          <w:sz w:val="28"/>
          <w:szCs w:val="28"/>
          <w:rtl/>
        </w:rPr>
        <w:softHyphen/>
        <w:t>پذيرد، در نتيجه اضافه اسم مفرد نيز افاده عموم نمی</w:t>
      </w:r>
      <w:r>
        <w:rPr>
          <w:rFonts w:cs="2  Mitra" w:hint="cs"/>
          <w:spacing w:val="6"/>
          <w:sz w:val="28"/>
          <w:szCs w:val="28"/>
          <w:rtl/>
        </w:rPr>
        <w:softHyphen/>
        <w:t>کند.</w:t>
      </w:r>
    </w:p>
    <w:p w14:paraId="7784C702" w14:textId="77777777" w:rsidR="005C4967" w:rsidRDefault="005C4967" w:rsidP="005C4967">
      <w:pPr>
        <w:widowControl w:val="0"/>
        <w:bidi/>
        <w:spacing w:before="240" w:line="252" w:lineRule="auto"/>
        <w:ind w:firstLine="289"/>
        <w:jc w:val="both"/>
        <w:rPr>
          <w:rFonts w:cs="2  Mitra" w:hint="cs"/>
          <w:spacing w:val="6"/>
          <w:sz w:val="28"/>
          <w:szCs w:val="28"/>
          <w:rtl/>
        </w:rPr>
      </w:pPr>
      <w:bookmarkStart w:id="1" w:name="_Hlk213496828"/>
      <w:r>
        <w:rPr>
          <w:rFonts w:cs="2  Mitra" w:hint="cs"/>
          <w:spacing w:val="6"/>
          <w:sz w:val="28"/>
          <w:szCs w:val="28"/>
          <w:rtl/>
        </w:rPr>
        <w:t>اما در اضافه مفرد مضاف به نکره، يا هيچ گونه تعيينی وجود ندارد و ا</w:t>
      </w:r>
      <w:r>
        <w:rPr>
          <w:rFonts w:cs="2  Mitra" w:hint="cs"/>
          <w:spacing w:val="6"/>
          <w:sz w:val="28"/>
          <w:szCs w:val="28"/>
          <w:rtl/>
          <w:lang w:bidi="fa-IR"/>
        </w:rPr>
        <w:t>ين اضافه</w:t>
      </w:r>
      <w:r>
        <w:rPr>
          <w:rFonts w:cs="2  Mitra" w:hint="cs"/>
          <w:spacing w:val="6"/>
          <w:sz w:val="28"/>
          <w:szCs w:val="28"/>
          <w:rtl/>
        </w:rPr>
        <w:t xml:space="preserve"> صرفاً توضيحی است، مثل: «</w:t>
      </w:r>
      <w:r>
        <w:rPr>
          <w:rFonts w:cs="Abz-2 (Badr)" w:hint="cs"/>
          <w:spacing w:val="6"/>
          <w:sz w:val="28"/>
          <w:szCs w:val="28"/>
          <w:rtl/>
        </w:rPr>
        <w:t>ملك مالك</w:t>
      </w:r>
      <w:r>
        <w:rPr>
          <w:rFonts w:cs="2  Mitra" w:hint="cs"/>
          <w:spacing w:val="6"/>
          <w:sz w:val="28"/>
          <w:szCs w:val="28"/>
          <w:rtl/>
        </w:rPr>
        <w:t>»، و يا تا حدی مضاف به واسطه آن از ابهام خارج می</w:t>
      </w:r>
      <w:r>
        <w:rPr>
          <w:rFonts w:cs="2  Mitra" w:hint="cs"/>
          <w:spacing w:val="6"/>
          <w:sz w:val="28"/>
          <w:szCs w:val="28"/>
          <w:rtl/>
        </w:rPr>
        <w:softHyphen/>
        <w:t>شود، هرچند ابهام آن به طور کامل برطرف نمی</w:t>
      </w:r>
      <w:r>
        <w:rPr>
          <w:rFonts w:cs="2  Mitra" w:hint="cs"/>
          <w:spacing w:val="6"/>
          <w:sz w:val="28"/>
          <w:szCs w:val="28"/>
          <w:rtl/>
        </w:rPr>
        <w:softHyphen/>
        <w:t>شود، مثل: «</w:t>
      </w:r>
      <w:r>
        <w:rPr>
          <w:rFonts w:cs="Abz-2 (Badr)" w:hint="cs"/>
          <w:spacing w:val="6"/>
          <w:sz w:val="28"/>
          <w:szCs w:val="28"/>
          <w:rtl/>
        </w:rPr>
        <w:t>ملك رجل</w:t>
      </w:r>
      <w:r>
        <w:rPr>
          <w:rFonts w:cs="2  Mitra" w:hint="cs"/>
          <w:spacing w:val="6"/>
          <w:sz w:val="28"/>
          <w:szCs w:val="28"/>
          <w:rtl/>
          <w:lang w:bidi="fa-IR"/>
        </w:rPr>
        <w:t>»</w:t>
      </w:r>
      <w:r>
        <w:rPr>
          <w:rFonts w:cs="2  Mitra" w:hint="cs"/>
          <w:spacing w:val="6"/>
          <w:sz w:val="28"/>
          <w:szCs w:val="28"/>
          <w:rtl/>
        </w:rPr>
        <w:t>. و در هر حال وجهی برای اين که در آن افراد متعددی لحاظ شده باشند، وجود ندارد.</w:t>
      </w:r>
    </w:p>
    <w:bookmarkEnd w:id="1"/>
    <w:p w14:paraId="3BD38E7D" w14:textId="77777777" w:rsidR="005C4967" w:rsidRDefault="005C4967" w:rsidP="005C4967">
      <w:pPr>
        <w:widowControl w:val="0"/>
        <w:bidi/>
        <w:spacing w:before="240" w:line="252" w:lineRule="auto"/>
        <w:ind w:firstLine="289"/>
        <w:jc w:val="both"/>
        <w:rPr>
          <w:rFonts w:cs="2  Mitra" w:hint="cs"/>
          <w:sz w:val="28"/>
          <w:szCs w:val="28"/>
          <w:rtl/>
        </w:rPr>
      </w:pPr>
      <w:r>
        <w:rPr>
          <w:rFonts w:cs="2  Mitra" w:hint="cs"/>
          <w:sz w:val="28"/>
          <w:szCs w:val="28"/>
          <w:rtl/>
        </w:rPr>
        <w:t>پس از ذکر مقدماتی که گذشت، بحث از عام و خاص را در ضمن چند امر پی می</w:t>
      </w:r>
      <w:r>
        <w:rPr>
          <w:rFonts w:cs="2  Mitra" w:hint="cs"/>
          <w:sz w:val="28"/>
          <w:szCs w:val="28"/>
          <w:rtl/>
        </w:rPr>
        <w:softHyphen/>
        <w:t>گيریم.</w:t>
      </w:r>
    </w:p>
    <w:p w14:paraId="3E0E2781" w14:textId="77777777" w:rsidR="005C4967" w:rsidRDefault="005C4967" w:rsidP="005C4967">
      <w:pPr>
        <w:widowControl w:val="0"/>
        <w:tabs>
          <w:tab w:val="num" w:pos="1440"/>
        </w:tabs>
        <w:bidi/>
        <w:spacing w:before="240" w:line="252" w:lineRule="auto"/>
        <w:ind w:firstLine="289"/>
        <w:jc w:val="center"/>
        <w:rPr>
          <w:rFonts w:ascii="Neirizi" w:hAnsi="Neirizi" w:cs="2  Aseman" w:hint="cs"/>
          <w:sz w:val="40"/>
          <w:szCs w:val="40"/>
          <w:rtl/>
          <w:lang w:bidi="fa-IR"/>
        </w:rPr>
      </w:pPr>
      <w:r>
        <w:rPr>
          <w:rFonts w:ascii="Neirizi" w:hAnsi="Neirizi" w:cs="2  Aseman" w:hint="cs"/>
          <w:sz w:val="40"/>
          <w:szCs w:val="40"/>
          <w:rtl/>
          <w:lang w:bidi="fa-IR"/>
        </w:rPr>
        <w:t>امر اول: حجّيّت عام بعد از ورود خاصّ مبيّن</w:t>
      </w:r>
    </w:p>
    <w:p w14:paraId="400E4E63" w14:textId="77777777" w:rsidR="005C4967" w:rsidRDefault="005C4967" w:rsidP="005C4967">
      <w:pPr>
        <w:widowControl w:val="0"/>
        <w:bidi/>
        <w:spacing w:before="240" w:line="252" w:lineRule="auto"/>
        <w:ind w:firstLine="289"/>
        <w:jc w:val="both"/>
        <w:rPr>
          <w:rFonts w:cs="2  Mitra" w:hint="cs"/>
          <w:sz w:val="28"/>
          <w:szCs w:val="28"/>
          <w:rtl/>
        </w:rPr>
      </w:pPr>
      <w:r>
        <w:rPr>
          <w:rFonts w:cs="2  Mitra" w:hint="cs"/>
          <w:sz w:val="28"/>
          <w:szCs w:val="28"/>
          <w:rtl/>
        </w:rPr>
        <w:t>در خصوص امکان تمسّک به عام بعد از تخصیص آن ـ در جایی که اجمالی در مخصص وجود نداشته باشد ـ اشکال وارد شده و گفته شده است، ورود خاص کاشف از این است که از عام، معنای موضوع له آن اراده نشده است که لازمه آن استعمال مجازی عام است، و چون مجاز در عام به حسب شمول معنایی که عام در آن استعمال می</w:t>
      </w:r>
      <w:r>
        <w:rPr>
          <w:rFonts w:cs="2  Mitra" w:hint="cs"/>
          <w:sz w:val="28"/>
          <w:szCs w:val="28"/>
          <w:rtl/>
        </w:rPr>
        <w:softHyphen/>
        <w:t>شود، دارای مراتب متعددی است و تعيين يک مرتبه از آن نيازمند قرينه است و بدون قرينه نمی</w:t>
      </w:r>
      <w:r>
        <w:rPr>
          <w:rFonts w:cs="2  Mitra" w:hint="cs"/>
          <w:sz w:val="28"/>
          <w:szCs w:val="28"/>
          <w:rtl/>
        </w:rPr>
        <w:softHyphen/>
        <w:t>توان ادعا نمود که مرتبه خاصی از آن مراد است، در نتيجه اين مسأله سبب اجمال عام شده و آن را از اعتبار ساقط می</w:t>
      </w:r>
      <w:r>
        <w:rPr>
          <w:rFonts w:cs="2  Mitra" w:hint="cs"/>
          <w:sz w:val="28"/>
          <w:szCs w:val="28"/>
          <w:rtl/>
        </w:rPr>
        <w:softHyphen/>
        <w:t>کند.</w:t>
      </w:r>
    </w:p>
    <w:p w14:paraId="7FE21396" w14:textId="77777777" w:rsidR="005C4967" w:rsidRDefault="005C4967" w:rsidP="005C4967">
      <w:pPr>
        <w:widowControl w:val="0"/>
        <w:bidi/>
        <w:spacing w:before="240" w:line="249" w:lineRule="auto"/>
        <w:ind w:firstLine="289"/>
        <w:jc w:val="both"/>
        <w:rPr>
          <w:rFonts w:cs="2  Mitra" w:hint="cs"/>
          <w:sz w:val="28"/>
          <w:szCs w:val="28"/>
          <w:rtl/>
        </w:rPr>
      </w:pPr>
      <w:r>
        <w:rPr>
          <w:rFonts w:cs="2  Mitra" w:hint="cs"/>
          <w:spacing w:val="-4"/>
          <w:sz w:val="28"/>
          <w:szCs w:val="28"/>
          <w:rtl/>
        </w:rPr>
        <w:t>مرحوم آخوند در مقام دفع اين اشکال پاسخی ارائه کرده</w:t>
      </w:r>
      <w:r>
        <w:rPr>
          <w:rFonts w:cs="2  Mitra" w:hint="cs"/>
          <w:spacing w:val="-4"/>
          <w:sz w:val="28"/>
          <w:szCs w:val="28"/>
          <w:rtl/>
        </w:rPr>
        <w:softHyphen/>
        <w:t>اند که جلسه آينده به ذکر آن خواهيم پرداخت ان شاء الله.</w:t>
      </w:r>
    </w:p>
    <w:p w14:paraId="1F1669B7" w14:textId="77777777" w:rsidR="005C4967" w:rsidRDefault="005C4967" w:rsidP="005C4967">
      <w:pPr>
        <w:rPr>
          <w:rFonts w:cs="2  Mitra" w:hint="cs"/>
          <w:sz w:val="28"/>
          <w:szCs w:val="28"/>
          <w:rtl/>
        </w:rPr>
      </w:pPr>
      <w:r>
        <w:rPr>
          <w:rFonts w:cs="2  Mitra" w:hint="cs"/>
          <w:sz w:val="28"/>
          <w:szCs w:val="28"/>
          <w:rtl/>
        </w:rPr>
        <w:br w:type="page"/>
      </w:r>
    </w:p>
    <w:p w14:paraId="39E24DA6" w14:textId="77777777" w:rsidR="005C4967" w:rsidRDefault="005C4967" w:rsidP="005C4967">
      <w:pPr>
        <w:widowControl w:val="0"/>
        <w:bidi/>
        <w:spacing w:after="0"/>
        <w:ind w:firstLine="289"/>
        <w:jc w:val="both"/>
        <w:rPr>
          <w:rFonts w:cs="Abz-2 (Badr)" w:hint="cs"/>
          <w:sz w:val="28"/>
          <w:szCs w:val="28"/>
          <w:rtl/>
        </w:rPr>
      </w:pPr>
      <w:r>
        <w:rPr>
          <w:rFonts w:cs="Abz-2 (Badr)" w:hint="cs"/>
          <w:sz w:val="28"/>
          <w:szCs w:val="28"/>
          <w:rtl/>
        </w:rPr>
        <w:lastRenderedPageBreak/>
        <w:t>قلنا إنّ التوجيه الذي ذكره صاحب الفصول لسبب إفادة الجمع المضاف للعموم، غير قابل للالتزام.</w:t>
      </w:r>
    </w:p>
    <w:p w14:paraId="39C9ADAD" w14:textId="77777777" w:rsidR="005C4967" w:rsidRDefault="005C4967" w:rsidP="005C4967">
      <w:pPr>
        <w:widowControl w:val="0"/>
        <w:bidi/>
        <w:spacing w:after="0"/>
        <w:ind w:firstLine="289"/>
        <w:jc w:val="both"/>
        <w:rPr>
          <w:rFonts w:cs="Abz-2 (Badr)" w:hint="cs"/>
          <w:sz w:val="28"/>
          <w:szCs w:val="28"/>
          <w:rtl/>
          <w:lang w:bidi="fa-IR"/>
        </w:rPr>
      </w:pPr>
      <w:bookmarkStart w:id="2" w:name="_Hlk213576305"/>
      <w:r>
        <w:rPr>
          <w:rFonts w:cs="Abz-2 (Badr)" w:hint="cs"/>
          <w:sz w:val="28"/>
          <w:szCs w:val="28"/>
          <w:rtl/>
        </w:rPr>
        <w:t>وبناءً على ذلك ينبغي في توجيه إفادة العموم بواسطة الجمع المضاف أن يقال: إنّ إضافة صيغة الجمع إلى المعرفة معناها أنّه قد لوحظت حصّة من جماعة تشمل هذه الحصّة أفراداً متعدّدين، ولتعيين هذه الحصّة أُضيف الجمع إلى المضاف إليه. فالإضافة حينئذٍ بمنزلة دخول لام العهد على المضاف، فكأنّه قيل: «العلماء» بدل: «علماء البلد الفلاني»، إذ كما أنّ وظيفة لام العهد هي تعيين مدخولها في فرد أو طائفة خاصّة، كذلك وظيفة الإضافة هي التعيين أيضاً.</w:t>
      </w:r>
    </w:p>
    <w:p w14:paraId="09188D8F" w14:textId="77777777" w:rsidR="005C4967" w:rsidRDefault="005C4967" w:rsidP="005C4967">
      <w:pPr>
        <w:widowControl w:val="0"/>
        <w:bidi/>
        <w:spacing w:after="0"/>
        <w:ind w:firstLine="289"/>
        <w:jc w:val="both"/>
        <w:rPr>
          <w:rFonts w:cs="Abz-2 (Badr)"/>
          <w:sz w:val="28"/>
          <w:szCs w:val="28"/>
        </w:rPr>
      </w:pPr>
      <w:r>
        <w:rPr>
          <w:rFonts w:cs="Abz-2 (Badr)" w:hint="cs"/>
          <w:sz w:val="28"/>
          <w:szCs w:val="28"/>
          <w:rtl/>
        </w:rPr>
        <w:t>ونتيجة ذلك أنّ إفادة العموم بواسطة الجمع المضاف إنّما هي من الجهة التي تقدّم ذكرها، وهي أنّ دخول اللام على صيغة الجمع ـ ولو كانت اللام للعهد ـ يستلزم عموم مدخولها.</w:t>
      </w:r>
    </w:p>
    <w:p w14:paraId="0DFB53E9" w14:textId="77777777" w:rsidR="005C4967" w:rsidRDefault="005C4967" w:rsidP="005C4967">
      <w:pPr>
        <w:widowControl w:val="0"/>
        <w:bidi/>
        <w:spacing w:after="0"/>
        <w:ind w:firstLine="289"/>
        <w:jc w:val="both"/>
        <w:rPr>
          <w:rFonts w:cs="Abz-2 (Badr)" w:hint="cs"/>
          <w:sz w:val="28"/>
          <w:szCs w:val="28"/>
          <w:rtl/>
        </w:rPr>
      </w:pPr>
      <w:r>
        <w:rPr>
          <w:rFonts w:cs="Abz-2 (Badr)" w:hint="cs"/>
          <w:sz w:val="28"/>
          <w:szCs w:val="28"/>
          <w:rtl/>
        </w:rPr>
        <w:t>وأمّا في توجيه إفادة العموم بصيغة الجمع المضاف إلى النكرة، فيمكن أن يقال: إنّه وإن كان الإبهام من جهة المضاف إليه باقياً، إلّا أنّ إضافة الجمع إلى النكرة بمنزلة أن يقال للمخاطب: إنّ المتكلّم قد لاحظ آحاد أفراد جمع ما، وتعيينهم من جهة المضاف إليه موكول إليك. وبناءً على ذلك، تكون عبارة «علماء بلد» بمنزلة «العلماء من أيّ بلد شئت»، فيكون لها من حيث المضاف عموم استغراقي، ومن حيث المضاف إليه عموم بدلي.</w:t>
      </w:r>
    </w:p>
    <w:p w14:paraId="7DCEC484" w14:textId="77777777" w:rsidR="005C4967" w:rsidRDefault="005C4967" w:rsidP="005C4967">
      <w:pPr>
        <w:widowControl w:val="0"/>
        <w:bidi/>
        <w:spacing w:after="0"/>
        <w:ind w:firstLine="289"/>
        <w:jc w:val="both"/>
        <w:rPr>
          <w:rFonts w:cs="Abz-2 (Badr)" w:hint="cs"/>
          <w:sz w:val="28"/>
          <w:szCs w:val="28"/>
          <w:rtl/>
        </w:rPr>
      </w:pPr>
      <w:r>
        <w:rPr>
          <w:rFonts w:cs="Abz-2 (Badr)" w:hint="cs"/>
          <w:sz w:val="28"/>
          <w:szCs w:val="28"/>
          <w:rtl/>
        </w:rPr>
        <w:t>نعم، لا يخفى أنّ عمومه البدلي إنّما هو من جهة الإطلاق لا من جهة العموم اللفظي؛ لأنّ كون التعيين في المضاف إليه بيد المخاطب إنّما تستفاد من نفي الخصوصيّة عنه تمسّكاً بمقدّمات الحكمة.</w:t>
      </w:r>
    </w:p>
    <w:p w14:paraId="005608F9" w14:textId="77777777" w:rsidR="005C4967" w:rsidRDefault="005C4967" w:rsidP="005C4967">
      <w:pPr>
        <w:widowControl w:val="0"/>
        <w:bidi/>
        <w:spacing w:after="0"/>
        <w:ind w:firstLine="289"/>
        <w:jc w:val="both"/>
        <w:rPr>
          <w:rFonts w:cs="Abz-2 (Badr)" w:hint="cs"/>
          <w:sz w:val="28"/>
          <w:szCs w:val="28"/>
          <w:rtl/>
        </w:rPr>
      </w:pPr>
      <w:r>
        <w:rPr>
          <w:rFonts w:cs="Abz-2 (Badr)" w:hint="cs"/>
          <w:sz w:val="28"/>
          <w:szCs w:val="28"/>
          <w:rtl/>
        </w:rPr>
        <w:t>وأمّا فيما يتعلّق بالمفرد المضاف إلی المعرفة، فإنّ وظيفة الإضافة حينئذٍ تعيينه في فرد خاصّ وإخراجه من الإبهام، فوظيفتها في هذا المورد هي کوظيفة لام العهد، ويکون «غلام زيد» بمنزلة «الغلام». وحيث إنّا قد قلنا في شأن دخول اللام على صيغة المفرد: إنّ إفادة العموم فيه إنّما تتحقّق فيما إذا كانت اللام للاستغراق ولا عموم فيما إذا دخلت سائر أقسامها علی المفرد، فكذلك الإضافة إلى المفرد لا تفيد العموم أيضاً.</w:t>
      </w:r>
    </w:p>
    <w:p w14:paraId="7FA2E63C" w14:textId="77777777" w:rsidR="005C4967" w:rsidRDefault="005C4967" w:rsidP="005C4967">
      <w:pPr>
        <w:widowControl w:val="0"/>
        <w:bidi/>
        <w:spacing w:after="0"/>
        <w:ind w:firstLine="289"/>
        <w:jc w:val="both"/>
        <w:rPr>
          <w:rFonts w:cs="Abz-2 (Badr)" w:hint="cs"/>
          <w:sz w:val="28"/>
          <w:szCs w:val="28"/>
          <w:rtl/>
        </w:rPr>
      </w:pPr>
      <w:r>
        <w:rPr>
          <w:rFonts w:cs="Abz-2 (Badr)" w:hint="cs"/>
          <w:sz w:val="28"/>
          <w:szCs w:val="28"/>
          <w:rtl/>
        </w:rPr>
        <w:t>وأمّا في إضافة المفرد إلى النكرة، فإمّا أن لا يكون هناك أيّ تعيين أصلاً وتكون الإضافة مجرّد إضافة توضيحيّة، كما في: «ملك مالك»، وإمّا أن يخرج المضاف إلى حدّ ما عن الإبهام بسبب الإضافة، وإن لم يرتفع الإبهام عنه رفعاً تامّاً، كما في: «ملك رجل».</w:t>
      </w:r>
    </w:p>
    <w:p w14:paraId="27678B54" w14:textId="77777777" w:rsidR="005C4967" w:rsidRDefault="005C4967" w:rsidP="005C4967">
      <w:pPr>
        <w:widowControl w:val="0"/>
        <w:bidi/>
        <w:spacing w:after="0"/>
        <w:ind w:firstLine="289"/>
        <w:jc w:val="both"/>
        <w:rPr>
          <w:rFonts w:cs="Abz-2 (Badr)" w:hint="cs"/>
          <w:sz w:val="28"/>
          <w:szCs w:val="28"/>
          <w:rtl/>
        </w:rPr>
      </w:pPr>
      <w:r>
        <w:rPr>
          <w:rFonts w:cs="Abz-2 (Badr)" w:hint="cs"/>
          <w:sz w:val="28"/>
          <w:szCs w:val="28"/>
          <w:rtl/>
        </w:rPr>
        <w:t>وعلى كلّ حال، لا وجه لافتراض لحاظ أفراد متعدّدة في هذا الباب.</w:t>
      </w:r>
    </w:p>
    <w:p w14:paraId="4A58DD39" w14:textId="77777777" w:rsidR="005C4967" w:rsidRDefault="005C4967" w:rsidP="005C4967">
      <w:pPr>
        <w:widowControl w:val="0"/>
        <w:bidi/>
        <w:spacing w:after="0"/>
        <w:ind w:firstLine="289"/>
        <w:jc w:val="both"/>
        <w:rPr>
          <w:rFonts w:cs="Abz-2 (Badr)" w:hint="cs"/>
          <w:sz w:val="28"/>
          <w:szCs w:val="28"/>
          <w:rtl/>
        </w:rPr>
      </w:pPr>
      <w:r>
        <w:rPr>
          <w:rFonts w:cs="Abz-2 (Badr)" w:hint="cs"/>
          <w:sz w:val="28"/>
          <w:szCs w:val="28"/>
          <w:rtl/>
        </w:rPr>
        <w:t>وبعد ذكر ما تقدّم من المقدّمات، نشرع في البحث عن العامّ والخاصّ ضمن عدّة أُمور:</w:t>
      </w:r>
    </w:p>
    <w:p w14:paraId="4E2BA707" w14:textId="77777777" w:rsidR="005C4967" w:rsidRDefault="005C4967" w:rsidP="005C4967">
      <w:pPr>
        <w:widowControl w:val="0"/>
        <w:tabs>
          <w:tab w:val="num" w:pos="1440"/>
        </w:tabs>
        <w:bidi/>
        <w:spacing w:before="240" w:line="252" w:lineRule="auto"/>
        <w:ind w:firstLine="289"/>
        <w:jc w:val="center"/>
        <w:rPr>
          <w:rFonts w:ascii="Neirizi" w:hAnsi="Neirizi" w:cs="Neirizi" w:hint="cs"/>
          <w:color w:val="00B050"/>
          <w:sz w:val="30"/>
          <w:szCs w:val="30"/>
          <w:rtl/>
          <w:lang w:bidi="fa-IR"/>
        </w:rPr>
      </w:pPr>
      <w:r>
        <w:rPr>
          <w:rFonts w:ascii="Neirizi" w:hAnsi="Neirizi" w:cs="Neirizi"/>
          <w:color w:val="00B050"/>
          <w:sz w:val="30"/>
          <w:szCs w:val="30"/>
          <w:rtl/>
          <w:lang w:bidi="fa-IR"/>
        </w:rPr>
        <w:lastRenderedPageBreak/>
        <w:t>الأمر الأوّل: حجّيّة العامّ بعد ورود الخاصّ المبيّن</w:t>
      </w:r>
    </w:p>
    <w:p w14:paraId="7BB390C7" w14:textId="77777777" w:rsidR="005C4967" w:rsidRDefault="005C4967" w:rsidP="005C4967">
      <w:pPr>
        <w:widowControl w:val="0"/>
        <w:bidi/>
        <w:spacing w:after="0"/>
        <w:ind w:firstLine="289"/>
        <w:jc w:val="both"/>
        <w:rPr>
          <w:rFonts w:cs="Abz-2 (Badr)"/>
          <w:sz w:val="28"/>
          <w:szCs w:val="28"/>
        </w:rPr>
      </w:pPr>
      <w:r>
        <w:rPr>
          <w:rFonts w:cs="Abz-2 (Badr)" w:hint="cs"/>
          <w:sz w:val="28"/>
          <w:szCs w:val="28"/>
          <w:rtl/>
        </w:rPr>
        <w:t>فيما يتعلّق بإمكان التمسّك بالعامّ بعد تخصيصه في مورد لا يكون المخصّص فيه مجملاً، أُورد إشكال حاصله: أنّ ورود الخاصّ كاشف عن أنّ المعنى الموضوع له للعامّ لم يرد منه، ومقتضى ذلك كون استعمال العامّ استعمالاً مجازيّاً. وبما أنّ المجاز في العامّ ـ بلحاظ سعة دائرة معناه الذي استعمل فيه ـ ذو مراتب متعدّدة وأنّ تعيين مرتبة خاصّة منها يتوقّف على القرينة ولا يمكن من دون قرينة الادّعاء بأنّ مرتبة معيّنة منها هي المراد، كانت النتيجة أنّ هذا الأمر يؤدّي إلى إجمال العامّ ويسقطه عن الاعتبار.</w:t>
      </w:r>
    </w:p>
    <w:p w14:paraId="32C62F4F" w14:textId="77777777" w:rsidR="005C4967" w:rsidRDefault="005C4967" w:rsidP="005C4967">
      <w:pPr>
        <w:widowControl w:val="0"/>
        <w:bidi/>
        <w:spacing w:after="0"/>
        <w:ind w:firstLine="289"/>
        <w:jc w:val="both"/>
        <w:rPr>
          <w:rFonts w:cs="Abz-2 (Badr)"/>
          <w:sz w:val="28"/>
          <w:szCs w:val="28"/>
        </w:rPr>
      </w:pPr>
      <w:r>
        <w:rPr>
          <w:rFonts w:cs="Abz-2 (Badr)" w:hint="cs"/>
          <w:sz w:val="28"/>
          <w:szCs w:val="28"/>
          <w:rtl/>
        </w:rPr>
        <w:t>وقد ذكر الآخوند جواباً لدفع هذا الإشكال الذي سنبيّنه في الجلسة القادمة إن شاء الله.</w:t>
      </w:r>
    </w:p>
    <w:bookmarkEnd w:id="2"/>
    <w:p w14:paraId="7811BDD7" w14:textId="77777777" w:rsidR="005C4967" w:rsidRDefault="005C4967" w:rsidP="005C4967">
      <w:pPr>
        <w:widowControl w:val="0"/>
        <w:bidi/>
        <w:spacing w:after="0"/>
        <w:ind w:firstLine="289"/>
        <w:jc w:val="both"/>
        <w:rPr>
          <w:rFonts w:cs="Abz-2 (Badr)"/>
          <w:sz w:val="28"/>
          <w:szCs w:val="28"/>
        </w:rPr>
      </w:pPr>
    </w:p>
    <w:p w14:paraId="7D9979DE" w14:textId="26D41A3F" w:rsidR="001B24FC" w:rsidRPr="005C4967" w:rsidRDefault="001B24FC" w:rsidP="005C4967">
      <w:pPr>
        <w:rPr>
          <w:rtl/>
        </w:rPr>
      </w:pPr>
    </w:p>
    <w:sectPr w:rsidR="001B24FC" w:rsidRPr="005C4967"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5F3C9" w14:textId="77777777" w:rsidR="00A43E98" w:rsidRDefault="00A43E98" w:rsidP="00C336C5">
      <w:pPr>
        <w:spacing w:after="0" w:line="240" w:lineRule="auto"/>
      </w:pPr>
      <w:r>
        <w:separator/>
      </w:r>
    </w:p>
  </w:endnote>
  <w:endnote w:type="continuationSeparator" w:id="0">
    <w:p w14:paraId="2B23143A" w14:textId="77777777" w:rsidR="00A43E98" w:rsidRDefault="00A43E98" w:rsidP="00C336C5">
      <w:pPr>
        <w:spacing w:after="0" w:line="240" w:lineRule="auto"/>
      </w:pPr>
      <w:r>
        <w:continuationSeparator/>
      </w:r>
    </w:p>
  </w:endnote>
  <w:endnote w:type="continuationNotice" w:id="1">
    <w:p w14:paraId="50EDDEEF" w14:textId="77777777" w:rsidR="00A43E98" w:rsidRDefault="00A43E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Neirizi">
    <w:panose1 w:val="02000503000000020003"/>
    <w:charset w:val="00"/>
    <w:family w:val="auto"/>
    <w:pitch w:val="variable"/>
    <w:sig w:usb0="61002A87" w:usb1="80000000" w:usb2="00000008" w:usb3="00000000" w:csb0="000101FF" w:csb1="00000000"/>
  </w:font>
  <w:font w:name="2  Aseman">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EFD2" w14:textId="77777777" w:rsidR="00C87AA4" w:rsidRDefault="00C87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3935" w14:textId="77777777" w:rsidR="00C87AA4" w:rsidRDefault="00C87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B8C64" w14:textId="77777777" w:rsidR="00A43E98" w:rsidRDefault="00A43E98" w:rsidP="00C336C5">
      <w:pPr>
        <w:bidi/>
        <w:spacing w:after="0" w:line="240" w:lineRule="auto"/>
      </w:pPr>
      <w:r>
        <w:separator/>
      </w:r>
    </w:p>
  </w:footnote>
  <w:footnote w:type="continuationSeparator" w:id="0">
    <w:p w14:paraId="4ADE6031" w14:textId="77777777" w:rsidR="00A43E98" w:rsidRDefault="00A43E98" w:rsidP="00C336C5">
      <w:pPr>
        <w:spacing w:after="0" w:line="240" w:lineRule="auto"/>
      </w:pPr>
      <w:r>
        <w:continuationSeparator/>
      </w:r>
    </w:p>
  </w:footnote>
  <w:footnote w:type="continuationNotice" w:id="1">
    <w:p w14:paraId="05577C78" w14:textId="77777777" w:rsidR="00A43E98" w:rsidRDefault="00A43E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1D38" w14:textId="77777777" w:rsidR="00C87AA4" w:rsidRDefault="00C87A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55E1FD62"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5C4967">
                            <w:rPr>
                              <w:rFonts w:cs="B Mehr" w:hint="cs"/>
                              <w:rtl/>
                              <w:lang w:bidi="fa-IR"/>
                            </w:rPr>
                            <w:t>یک</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5C4967">
                            <w:rPr>
                              <w:rFonts w:cs="B Mehr" w:hint="cs"/>
                              <w:rtl/>
                              <w:lang w:bidi="fa-IR"/>
                            </w:rPr>
                            <w:t>18</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55E1FD62"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5C4967">
                      <w:rPr>
                        <w:rFonts w:cs="B Mehr" w:hint="cs"/>
                        <w:rtl/>
                        <w:lang w:bidi="fa-IR"/>
                      </w:rPr>
                      <w:t>یک</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5C4967">
                      <w:rPr>
                        <w:rFonts w:cs="B Mehr" w:hint="cs"/>
                        <w:rtl/>
                        <w:lang w:bidi="fa-IR"/>
                      </w:rPr>
                      <w:t>18</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CD07" w14:textId="77777777" w:rsidR="00C87AA4" w:rsidRDefault="00C87A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02B"/>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70B"/>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3D82"/>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393B"/>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B7981"/>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4D6B"/>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0A3C"/>
    <w:rsid w:val="005B312D"/>
    <w:rsid w:val="005B3143"/>
    <w:rsid w:val="005B4678"/>
    <w:rsid w:val="005B5780"/>
    <w:rsid w:val="005B5AF7"/>
    <w:rsid w:val="005B646F"/>
    <w:rsid w:val="005B6748"/>
    <w:rsid w:val="005B72A2"/>
    <w:rsid w:val="005B7871"/>
    <w:rsid w:val="005C0513"/>
    <w:rsid w:val="005C0D92"/>
    <w:rsid w:val="005C43B0"/>
    <w:rsid w:val="005C4967"/>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472C"/>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A08"/>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3E98"/>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3C4"/>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87AA4"/>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2915"/>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3F9"/>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450B"/>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56989208">
      <w:bodyDiv w:val="1"/>
      <w:marLeft w:val="0"/>
      <w:marRight w:val="0"/>
      <w:marTop w:val="0"/>
      <w:marBottom w:val="0"/>
      <w:divBdr>
        <w:top w:val="none" w:sz="0" w:space="0" w:color="auto"/>
        <w:left w:val="none" w:sz="0" w:space="0" w:color="auto"/>
        <w:bottom w:val="none" w:sz="0" w:space="0" w:color="auto"/>
        <w:right w:val="none" w:sz="0" w:space="0" w:color="auto"/>
      </w:divBdr>
    </w:div>
    <w:div w:id="263193260">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88718046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88244255">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85190284">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765304584">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4107</TotalTime>
  <Pages>1</Pages>
  <Words>823</Words>
  <Characters>4696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1242</cp:revision>
  <cp:lastPrinted>2025-04-15T09:36:00Z</cp:lastPrinted>
  <dcterms:created xsi:type="dcterms:W3CDTF">2022-10-16T08:36:00Z</dcterms:created>
  <dcterms:modified xsi:type="dcterms:W3CDTF">2025-11-09T07:49:00Z</dcterms:modified>
</cp:coreProperties>
</file>