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82935" w14:textId="77777777" w:rsidR="00C87AA4" w:rsidRDefault="00C87AA4" w:rsidP="00C87AA4">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1CB1A575" w14:textId="77777777" w:rsidR="00C87AA4" w:rsidRDefault="00C87AA4" w:rsidP="00C87AA4">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66252CC1" w14:textId="77777777" w:rsidR="00C87AA4" w:rsidRDefault="00C87AA4" w:rsidP="00C87AA4">
      <w:pPr>
        <w:widowControl w:val="0"/>
        <w:bidi/>
        <w:spacing w:after="240"/>
        <w:jc w:val="center"/>
        <w:rPr>
          <w:rFonts w:cs="B Mitra" w:hint="cs"/>
          <w:b/>
          <w:bCs/>
          <w:sz w:val="32"/>
          <w:szCs w:val="32"/>
          <w:rtl/>
          <w:lang w:bidi="fa-IR"/>
        </w:rPr>
      </w:pPr>
      <w:r>
        <w:rPr>
          <w:rFonts w:cs="B Mitra" w:hint="cs"/>
          <w:b/>
          <w:bCs/>
          <w:sz w:val="32"/>
          <w:szCs w:val="32"/>
          <w:rtl/>
          <w:lang w:bidi="fa-IR"/>
        </w:rPr>
        <w:t>جلسه 965</w:t>
      </w:r>
    </w:p>
    <w:bookmarkEnd w:id="0"/>
    <w:p w14:paraId="3B32CB3E" w14:textId="77777777" w:rsidR="00C87AA4" w:rsidRDefault="00C87AA4" w:rsidP="00C87AA4">
      <w:pPr>
        <w:widowControl w:val="0"/>
        <w:bidi/>
        <w:spacing w:before="240" w:line="261" w:lineRule="auto"/>
        <w:ind w:firstLine="289"/>
        <w:jc w:val="both"/>
        <w:rPr>
          <w:rFonts w:cs="2  Mitra" w:hint="cs"/>
          <w:sz w:val="28"/>
          <w:szCs w:val="28"/>
          <w:rtl/>
        </w:rPr>
      </w:pPr>
    </w:p>
    <w:p w14:paraId="26ABEF47" w14:textId="77777777" w:rsidR="00C87AA4" w:rsidRDefault="00C87AA4" w:rsidP="00C87AA4">
      <w:pPr>
        <w:widowControl w:val="0"/>
        <w:bidi/>
        <w:spacing w:before="240" w:line="252" w:lineRule="auto"/>
        <w:ind w:firstLine="289"/>
        <w:jc w:val="both"/>
        <w:rPr>
          <w:rFonts w:cs="2  Mitra" w:hint="cs"/>
          <w:sz w:val="28"/>
          <w:szCs w:val="28"/>
          <w:rtl/>
        </w:rPr>
      </w:pPr>
      <w:r>
        <w:rPr>
          <w:rFonts w:cs="2  Mitra" w:hint="cs"/>
          <w:sz w:val="28"/>
          <w:szCs w:val="28"/>
          <w:rtl/>
        </w:rPr>
        <w:t>گفتيم که ظاهر کلامی که از مرحوم آخوند در جلسه قبل نقل کرديم، اين است که ايشان از مبنای خود در خصوص افاده عموم توسط ادوات آن در خصوص آنچه که با توجه به مقدمات حکمت از مدخول ادوات عموم برداشت می</w:t>
      </w:r>
      <w:r>
        <w:rPr>
          <w:rFonts w:cs="2  Mitra" w:hint="cs"/>
          <w:sz w:val="28"/>
          <w:szCs w:val="28"/>
          <w:rtl/>
        </w:rPr>
        <w:softHyphen/>
        <w:t>شود، عدول کرده</w:t>
      </w:r>
      <w:r>
        <w:rPr>
          <w:rFonts w:cs="2  Mitra" w:hint="cs"/>
          <w:sz w:val="28"/>
          <w:szCs w:val="28"/>
          <w:rtl/>
        </w:rPr>
        <w:softHyphen/>
        <w:t>اند.</w:t>
      </w:r>
    </w:p>
    <w:p w14:paraId="2D0743E5" w14:textId="77777777" w:rsidR="00C87AA4" w:rsidRDefault="00C87AA4" w:rsidP="00C87AA4">
      <w:pPr>
        <w:widowControl w:val="0"/>
        <w:bidi/>
        <w:spacing w:before="240" w:line="252" w:lineRule="auto"/>
        <w:ind w:firstLine="289"/>
        <w:jc w:val="both"/>
        <w:rPr>
          <w:rFonts w:cs="Abz-2 (Badr)" w:hint="cs"/>
          <w:color w:val="0070C0"/>
          <w:sz w:val="28"/>
          <w:szCs w:val="28"/>
          <w:rtl/>
          <w:lang w:bidi="fa-IR"/>
        </w:rPr>
      </w:pPr>
      <w:r>
        <w:rPr>
          <w:rFonts w:cs="2  Mitra" w:hint="cs"/>
          <w:sz w:val="28"/>
          <w:szCs w:val="28"/>
          <w:rtl/>
          <w:lang w:bidi="fa-IR"/>
        </w:rPr>
        <w:t xml:space="preserve">مؤيّد اين مطلب نيز اين است که در تقریرات درس ايشان که توسط مرحوم آقا مير قزوينی نگاشته شده، آمده است: </w:t>
      </w:r>
      <w:r>
        <w:rPr>
          <w:rFonts w:cs="2  Mitra" w:hint="cs"/>
          <w:color w:val="0070C0"/>
          <w:sz w:val="28"/>
          <w:szCs w:val="28"/>
          <w:rtl/>
          <w:lang w:bidi="fa-IR"/>
        </w:rPr>
        <w:t>«</w:t>
      </w:r>
      <w:r>
        <w:rPr>
          <w:rFonts w:cs="Abz-2 (Badr)" w:hint="cs"/>
          <w:color w:val="0070C0"/>
          <w:sz w:val="28"/>
          <w:szCs w:val="28"/>
          <w:rtl/>
          <w:lang w:bidi="fa-IR"/>
        </w:rPr>
        <w:t>اللهمّ إلا أن يدّعی أنّ قضيّة وقوع النکرة في سياق النفي، إحاطة النفي بتمام أفراد الطبيعة وإن أُخذت مهملة، بأن يکون الظاهر المتفاهم منها عرفاً الشمول لتل</w:t>
      </w:r>
      <w:r>
        <w:rPr>
          <w:rFonts w:cs="Abz-2 (Badr)" w:hint="cs"/>
          <w:color w:val="0070C0"/>
          <w:sz w:val="28"/>
          <w:szCs w:val="28"/>
          <w:rtl/>
        </w:rPr>
        <w:t xml:space="preserve">ك </w:t>
      </w:r>
      <w:r>
        <w:rPr>
          <w:rFonts w:cs="Abz-2 (Badr)" w:hint="cs"/>
          <w:color w:val="0070C0"/>
          <w:sz w:val="28"/>
          <w:szCs w:val="28"/>
          <w:rtl/>
          <w:lang w:bidi="fa-IR"/>
        </w:rPr>
        <w:t>الأفراد بأسرها من غير شذوذ فرد منها وإن لم تقم قرينة عليه من مقدّمات حکمة، بل بنفسها وضعاً أو إطلاقاً دالّة علی استيعاب الحکم لتمام مصاديق الطبيعة؛ ولا شاهد عليها.</w:t>
      </w:r>
    </w:p>
    <w:p w14:paraId="0AC47E83" w14:textId="77777777" w:rsidR="00C87AA4" w:rsidRDefault="00C87AA4" w:rsidP="00C87AA4">
      <w:pPr>
        <w:widowControl w:val="0"/>
        <w:bidi/>
        <w:spacing w:before="240" w:line="252" w:lineRule="auto"/>
        <w:ind w:firstLine="289"/>
        <w:jc w:val="both"/>
        <w:rPr>
          <w:rFonts w:cs="2  Mitra" w:hint="cs"/>
          <w:sz w:val="28"/>
          <w:szCs w:val="28"/>
          <w:rtl/>
          <w:lang w:bidi="fa-IR"/>
        </w:rPr>
      </w:pPr>
      <w:r>
        <w:rPr>
          <w:rFonts w:cs="Abz-2 (Badr)" w:hint="cs"/>
          <w:color w:val="0070C0"/>
          <w:sz w:val="28"/>
          <w:szCs w:val="28"/>
          <w:rtl/>
          <w:lang w:bidi="fa-IR"/>
        </w:rPr>
        <w:t>ولو تمّ ذل</w:t>
      </w:r>
      <w:r>
        <w:rPr>
          <w:rFonts w:cs="Abz-2 (Badr)" w:hint="cs"/>
          <w:color w:val="0070C0"/>
          <w:sz w:val="28"/>
          <w:szCs w:val="28"/>
          <w:rtl/>
        </w:rPr>
        <w:t>ك</w:t>
      </w:r>
      <w:r>
        <w:rPr>
          <w:rFonts w:cs="Abz-2 (Badr)" w:hint="cs"/>
          <w:color w:val="0070C0"/>
          <w:sz w:val="28"/>
          <w:szCs w:val="28"/>
          <w:rtl/>
          <w:lang w:bidi="fa-IR"/>
        </w:rPr>
        <w:t xml:space="preserve"> تکون دلالة النکرة المنفيّة علی العموم لفظيّة لا عقليّة، ولکن لا سبيل إليه، لما عرفت من أنّ مقتضی وضعها غير ذل</w:t>
      </w:r>
      <w:r>
        <w:rPr>
          <w:rFonts w:cs="Abz-2 (Badr)" w:hint="cs"/>
          <w:color w:val="0070C0"/>
          <w:sz w:val="28"/>
          <w:szCs w:val="28"/>
          <w:rtl/>
        </w:rPr>
        <w:t>ك</w:t>
      </w:r>
      <w:r>
        <w:rPr>
          <w:rFonts w:cs="Abz-2 (Badr)" w:hint="cs"/>
          <w:color w:val="0070C0"/>
          <w:sz w:val="28"/>
          <w:szCs w:val="28"/>
          <w:rtl/>
          <w:lang w:bidi="fa-IR"/>
        </w:rPr>
        <w:t xml:space="preserve"> نظراً إلی کلمة النفي ومدخولها المأخوذ لا بشرط الصالح للإطلاق والتقييد.</w:t>
      </w:r>
      <w:r>
        <w:rPr>
          <w:rFonts w:cs="2  Mitra" w:hint="cs"/>
          <w:color w:val="0070C0"/>
          <w:sz w:val="28"/>
          <w:szCs w:val="28"/>
          <w:rtl/>
          <w:lang w:bidi="fa-IR"/>
        </w:rPr>
        <w:t>»</w:t>
      </w:r>
      <w:r>
        <w:rPr>
          <w:rStyle w:val="FootnoteReference"/>
          <w:rFonts w:cs="2  Mitra"/>
          <w:sz w:val="28"/>
          <w:szCs w:val="28"/>
          <w:rtl/>
        </w:rPr>
        <w:footnoteReference w:id="2"/>
      </w:r>
    </w:p>
    <w:p w14:paraId="2F3624A8" w14:textId="77777777" w:rsidR="00C87AA4" w:rsidRDefault="00C87AA4" w:rsidP="00C87AA4">
      <w:pPr>
        <w:widowControl w:val="0"/>
        <w:bidi/>
        <w:spacing w:before="240" w:line="252" w:lineRule="auto"/>
        <w:ind w:firstLine="289"/>
        <w:jc w:val="both"/>
        <w:rPr>
          <w:rFonts w:cs="2  Mitra" w:hint="cs"/>
          <w:sz w:val="28"/>
          <w:szCs w:val="28"/>
          <w:rtl/>
          <w:lang w:bidi="fa-IR"/>
        </w:rPr>
      </w:pPr>
      <w:bookmarkStart w:id="1" w:name="_Hlk213140933"/>
      <w:r>
        <w:rPr>
          <w:rFonts w:cs="2  Mitra" w:hint="cs"/>
          <w:sz w:val="28"/>
          <w:szCs w:val="28"/>
          <w:rtl/>
          <w:lang w:bidi="fa-IR"/>
        </w:rPr>
        <w:t xml:space="preserve">و ظاهر اين مطلب </w:t>
      </w:r>
      <w:r>
        <w:rPr>
          <w:rFonts w:cs="2  Mitra" w:hint="cs"/>
          <w:sz w:val="28"/>
          <w:szCs w:val="28"/>
          <w:rtl/>
        </w:rPr>
        <w:t>ـ چنان‌که پیداست ـ اين است که اگر دلالت بر عموم، مبتنی بر وضع باشد، نیازی به تمام بودن مقدمات حکمت در افاده</w:t>
      </w:r>
      <w:r>
        <w:rPr>
          <w:rFonts w:cs="2  Mitra" w:hint="cs"/>
          <w:sz w:val="28"/>
          <w:szCs w:val="28"/>
          <w:rtl/>
        </w:rPr>
        <w:softHyphen/>
        <w:t>ی عموم نخواهد بود. و از آن جا که دلالت ادوات عموم ـ مانند «کلّ» ـ بر عموم، دلالتی وضعی است، لازم است ایشان ملتزم باشند که در افاد</w:t>
      </w:r>
      <w:r>
        <w:rPr>
          <w:rFonts w:cs="2  Mitra" w:hint="cs"/>
          <w:sz w:val="28"/>
          <w:szCs w:val="28"/>
          <w:rtl/>
        </w:rPr>
        <w:softHyphen/>
        <w:t>ه</w:t>
      </w:r>
      <w:r>
        <w:rPr>
          <w:rFonts w:cs="2  Mitra" w:hint="cs"/>
          <w:sz w:val="28"/>
          <w:szCs w:val="28"/>
          <w:rtl/>
        </w:rPr>
        <w:softHyphen/>
        <w:t>ی عموم توسط این ادوات، نیازی به تمامیت مقدمات حکمت در مدخول آن‌ها وجود ندارد</w:t>
      </w:r>
      <w:bookmarkEnd w:id="1"/>
      <w:r>
        <w:rPr>
          <w:rFonts w:cs="2  Mitra" w:hint="cs"/>
          <w:sz w:val="28"/>
          <w:szCs w:val="28"/>
          <w:rtl/>
          <w:lang w:bidi="fa-IR"/>
        </w:rPr>
        <w:t>.</w:t>
      </w:r>
    </w:p>
    <w:p w14:paraId="4B291C4B" w14:textId="77777777" w:rsidR="00C87AA4" w:rsidRDefault="00C87AA4" w:rsidP="00C87AA4">
      <w:pPr>
        <w:widowControl w:val="0"/>
        <w:bidi/>
        <w:spacing w:before="240" w:line="252" w:lineRule="auto"/>
        <w:ind w:firstLine="289"/>
        <w:jc w:val="both"/>
        <w:rPr>
          <w:rFonts w:cs="2  Mitra" w:hint="cs"/>
          <w:sz w:val="28"/>
          <w:szCs w:val="28"/>
          <w:rtl/>
          <w:lang w:bidi="fa-IR"/>
        </w:rPr>
      </w:pPr>
      <w:r>
        <w:rPr>
          <w:rFonts w:cs="2  Mitra" w:hint="cs"/>
          <w:sz w:val="28"/>
          <w:szCs w:val="28"/>
          <w:rtl/>
          <w:lang w:bidi="fa-IR"/>
        </w:rPr>
        <w:t>اما آنچه که در مورد اسم معرّف به لام فرموده</w:t>
      </w:r>
      <w:r>
        <w:rPr>
          <w:rFonts w:cs="2  Mitra" w:hint="cs"/>
          <w:sz w:val="28"/>
          <w:szCs w:val="28"/>
          <w:rtl/>
          <w:lang w:bidi="fa-IR"/>
        </w:rPr>
        <w:softHyphen/>
        <w:t>اند، اشاره به نکته سابق دارد، به اين معنا که اخذ به عموم در اين موارد نيز منوط بر تماميت مقدمات حکمت در مدخول لام است، و چنانچه مدخول آن قيدی داشته باشد ـ مثل: «</w:t>
      </w:r>
      <w:r>
        <w:rPr>
          <w:rFonts w:cs="Abz-2 (Badr)" w:hint="cs"/>
          <w:sz w:val="28"/>
          <w:szCs w:val="28"/>
          <w:rtl/>
          <w:lang w:bidi="fa-IR"/>
        </w:rPr>
        <w:t>أکرم العلماء العدول</w:t>
      </w:r>
      <w:r>
        <w:rPr>
          <w:rFonts w:cs="2  Mitra" w:hint="cs"/>
          <w:sz w:val="28"/>
          <w:szCs w:val="28"/>
          <w:rtl/>
          <w:lang w:bidi="fa-IR"/>
        </w:rPr>
        <w:t>» ـ اين قيد مانع از عموم آن نيست و نمی</w:t>
      </w:r>
      <w:r>
        <w:rPr>
          <w:rFonts w:cs="2  Mitra" w:hint="cs"/>
          <w:sz w:val="28"/>
          <w:szCs w:val="28"/>
          <w:rtl/>
          <w:lang w:bidi="fa-IR"/>
        </w:rPr>
        <w:softHyphen/>
        <w:t xml:space="preserve">توان ادعا کرد که عموم در اين موارد تخصيص خورده است، بلکه عمومی که توسط </w:t>
      </w:r>
      <w:r>
        <w:rPr>
          <w:rFonts w:cs="2  Mitra" w:hint="cs"/>
          <w:sz w:val="28"/>
          <w:szCs w:val="28"/>
          <w:rtl/>
          <w:lang w:bidi="fa-IR"/>
        </w:rPr>
        <w:lastRenderedPageBreak/>
        <w:t>لام در اين موارد افاده می</w:t>
      </w:r>
      <w:r>
        <w:rPr>
          <w:rFonts w:cs="2  Mitra" w:hint="cs"/>
          <w:sz w:val="28"/>
          <w:szCs w:val="28"/>
          <w:rtl/>
          <w:lang w:bidi="fa-IR"/>
        </w:rPr>
        <w:softHyphen/>
        <w:t>شود، با لحاظ تضييقی که از ابتدا در مدخول لام با ذکر قيد انجام شده است، صورت می</w:t>
      </w:r>
      <w:r>
        <w:rPr>
          <w:rFonts w:cs="2  Mitra" w:hint="cs"/>
          <w:sz w:val="28"/>
          <w:szCs w:val="28"/>
          <w:rtl/>
          <w:lang w:bidi="fa-IR"/>
        </w:rPr>
        <w:softHyphen/>
        <w:t>پذيرد. از اين رو در مثال مذکور، دخول لام بر مدخول مقيّد، افاده عموم به نسبت به جميع افراد عالم عادل می</w:t>
      </w:r>
      <w:r>
        <w:rPr>
          <w:rFonts w:cs="2  Mitra" w:hint="cs"/>
          <w:sz w:val="28"/>
          <w:szCs w:val="28"/>
          <w:rtl/>
          <w:lang w:bidi="fa-IR"/>
        </w:rPr>
        <w:softHyphen/>
        <w:t>کند.</w:t>
      </w:r>
    </w:p>
    <w:p w14:paraId="032F4C3B" w14:textId="77777777" w:rsidR="00C87AA4" w:rsidRDefault="00C87AA4" w:rsidP="00C87AA4">
      <w:pPr>
        <w:widowControl w:val="0"/>
        <w:tabs>
          <w:tab w:val="num" w:pos="1440"/>
        </w:tabs>
        <w:bidi/>
        <w:spacing w:before="240" w:line="252" w:lineRule="auto"/>
        <w:ind w:firstLine="289"/>
        <w:jc w:val="both"/>
        <w:rPr>
          <w:rFonts w:cs="2  Mitra" w:hint="cs"/>
          <w:sz w:val="28"/>
          <w:szCs w:val="28"/>
          <w:rtl/>
        </w:rPr>
      </w:pPr>
      <w:r>
        <w:rPr>
          <w:rFonts w:cs="2  Mitra" w:hint="cs"/>
          <w:sz w:val="28"/>
          <w:szCs w:val="28"/>
          <w:rtl/>
        </w:rPr>
        <w:t>این مطلب نيز هرچند در موردی که مدخول «لام» به قیدی مقیّد باشد، صحیح است، امّا این که در غیاب هرگونه قید، افاده</w:t>
      </w:r>
      <w:r>
        <w:rPr>
          <w:rFonts w:cs="2  Mitra" w:hint="cs"/>
          <w:sz w:val="28"/>
          <w:szCs w:val="28"/>
          <w:rtl/>
        </w:rPr>
        <w:softHyphen/>
        <w:t>ی شمول مدخول «لام» نسبت به همه</w:t>
      </w:r>
      <w:r>
        <w:rPr>
          <w:rFonts w:cs="2  Mitra" w:hint="cs"/>
          <w:sz w:val="28"/>
          <w:szCs w:val="28"/>
          <w:rtl/>
        </w:rPr>
        <w:softHyphen/>
        <w:t>ی افراد آن متوقّف بر تمامیت مقدّمات حکمت دانسته شود، همان اشکالی را دارد که پیش‌تر بیان شد.</w:t>
      </w:r>
    </w:p>
    <w:p w14:paraId="488C24E3" w14:textId="77777777" w:rsidR="00C87AA4" w:rsidRDefault="00C87AA4" w:rsidP="00C87AA4">
      <w:pPr>
        <w:widowControl w:val="0"/>
        <w:tabs>
          <w:tab w:val="num" w:pos="1440"/>
        </w:tabs>
        <w:bidi/>
        <w:spacing w:before="240"/>
        <w:ind w:firstLine="289"/>
        <w:jc w:val="both"/>
        <w:rPr>
          <w:rFonts w:cs="2  Mitra" w:hint="cs"/>
          <w:sz w:val="28"/>
          <w:szCs w:val="28"/>
          <w:rtl/>
        </w:rPr>
      </w:pPr>
      <w:r>
        <w:rPr>
          <w:rFonts w:cs="2  Mitra" w:hint="cs"/>
          <w:sz w:val="28"/>
          <w:szCs w:val="28"/>
          <w:rtl/>
        </w:rPr>
        <w:t>همچنان که اشکال مدعای ايشان در خصوص عدم ابتناء افاده عموم توسط اسم محلی به «لام» بر وضع و ابتناء آن بر تماميّت مقدّمات حکمت يا قرائن همراه با کلام، با توجه به مطالب پيش</w:t>
      </w:r>
      <w:r>
        <w:rPr>
          <w:rFonts w:cs="2  Mitra" w:hint="cs"/>
          <w:sz w:val="28"/>
          <w:szCs w:val="28"/>
          <w:rtl/>
        </w:rPr>
        <w:softHyphen/>
        <w:t>گفته معلوم می</w:t>
      </w:r>
      <w:r>
        <w:rPr>
          <w:rFonts w:cs="2  Mitra" w:hint="cs"/>
          <w:sz w:val="28"/>
          <w:szCs w:val="28"/>
          <w:rtl/>
        </w:rPr>
        <w:softHyphen/>
        <w:t>شود.</w:t>
      </w:r>
    </w:p>
    <w:p w14:paraId="436FEDD0" w14:textId="77777777" w:rsidR="00C87AA4" w:rsidRDefault="00C87AA4" w:rsidP="00C87AA4">
      <w:pPr>
        <w:widowControl w:val="0"/>
        <w:tabs>
          <w:tab w:val="num" w:pos="1440"/>
        </w:tabs>
        <w:bidi/>
        <w:spacing w:before="240"/>
        <w:ind w:firstLine="289"/>
        <w:jc w:val="both"/>
        <w:rPr>
          <w:rFonts w:ascii="Neirizi" w:hAnsi="Neirizi" w:cs="Neirizi" w:hint="cs"/>
          <w:spacing w:val="14"/>
          <w:sz w:val="24"/>
          <w:szCs w:val="24"/>
          <w:rtl/>
          <w:lang w:bidi="fa-IR"/>
        </w:rPr>
      </w:pPr>
      <w:r>
        <w:rPr>
          <w:rFonts w:ascii="Neirizi" w:hAnsi="Neirizi" w:cs="Neirizi"/>
          <w:spacing w:val="14"/>
          <w:sz w:val="24"/>
          <w:szCs w:val="24"/>
          <w:rtl/>
          <w:lang w:bidi="fa-IR"/>
        </w:rPr>
        <w:t xml:space="preserve">4 </w:t>
      </w:r>
      <w:r>
        <w:rPr>
          <w:rFonts w:ascii="Neirizi" w:hAnsi="Neirizi" w:cs="Neirizi"/>
          <w:sz w:val="24"/>
          <w:szCs w:val="24"/>
          <w:rtl/>
          <w:lang w:bidi="fa-IR"/>
        </w:rPr>
        <w:t>ـــ</w:t>
      </w:r>
      <w:r>
        <w:rPr>
          <w:rFonts w:ascii="Neirizi" w:hAnsi="Neirizi" w:cs="Neirizi"/>
          <w:spacing w:val="14"/>
          <w:sz w:val="24"/>
          <w:szCs w:val="24"/>
          <w:rtl/>
          <w:lang w:bidi="fa-IR"/>
        </w:rPr>
        <w:t xml:space="preserve"> جمع مضاف</w:t>
      </w:r>
    </w:p>
    <w:p w14:paraId="38030AC5" w14:textId="77777777" w:rsidR="00C87AA4" w:rsidRDefault="00C87AA4" w:rsidP="00C87AA4">
      <w:pPr>
        <w:widowControl w:val="0"/>
        <w:bidi/>
        <w:spacing w:before="240"/>
        <w:ind w:firstLine="289"/>
        <w:jc w:val="both"/>
        <w:rPr>
          <w:rFonts w:cs="2  Mitra"/>
          <w:spacing w:val="-4"/>
          <w:sz w:val="28"/>
          <w:szCs w:val="28"/>
          <w:rtl/>
        </w:rPr>
      </w:pPr>
      <w:r>
        <w:rPr>
          <w:rFonts w:cs="2  Mitra" w:hint="cs"/>
          <w:spacing w:val="-4"/>
          <w:sz w:val="28"/>
          <w:szCs w:val="28"/>
          <w:rtl/>
          <w:lang w:bidi="fa-IR"/>
        </w:rPr>
        <w:t xml:space="preserve">صاحب فصول در خصوص افاده عموم توسط «جمع مضاف» و عدم افاده آن توسط «مفرد مضاف» فرموده است: </w:t>
      </w:r>
      <w:r>
        <w:rPr>
          <w:rFonts w:cs="2  Mitra" w:hint="cs"/>
          <w:spacing w:val="-4"/>
          <w:sz w:val="28"/>
          <w:szCs w:val="28"/>
          <w:rtl/>
        </w:rPr>
        <w:t>جمع مضاف همچون جمع معرّف به «لام»، ظهور در عموم دارد و منشأ آن، اقتضای اصل وضع اضافه برای اشاره به شیء معهود نزد مخاطب است. بنابر اين هرگاه قرینه‌ای بر تعیین برخی افراد در جمع مضاف به معرّف ـ مانند «</w:t>
      </w:r>
      <w:r>
        <w:rPr>
          <w:rFonts w:cs="Abz-2 (Badr)" w:hint="cs"/>
          <w:spacing w:val="-4"/>
          <w:sz w:val="28"/>
          <w:szCs w:val="28"/>
          <w:rtl/>
        </w:rPr>
        <w:t>علماء البلد</w:t>
      </w:r>
      <w:r>
        <w:rPr>
          <w:rFonts w:cs="2  Mitra" w:hint="cs"/>
          <w:spacing w:val="-4"/>
          <w:sz w:val="28"/>
          <w:szCs w:val="28"/>
          <w:rtl/>
        </w:rPr>
        <w:t>» ـ وجود نداشته باشد، حمل بر همه می‌شود، زیرا این مرتبه نزد مخاطب متعیّن است، برخلاف مراتب پایین‌تر که میان گروه‌ها مردّد است. توجيه افاده عموم در جمع مضاف به نکره نيز اين است که چون مضاف الیه موجب تعیّن نمی‌شود، اگر مضاف به «برخیِ نامعیّن» حمل گردد، ابهام آن بیشتر شده و اين امر مخالف اصل اضافه است؛ در حالی که اگر به «مجموع» حمل شود، ابهام تنها از ناحیه</w:t>
      </w:r>
      <w:r>
        <w:rPr>
          <w:rFonts w:cs="2  Mitra" w:hint="cs"/>
          <w:spacing w:val="-4"/>
          <w:sz w:val="28"/>
          <w:szCs w:val="28"/>
          <w:rtl/>
        </w:rPr>
        <w:softHyphen/>
        <w:t>ی مضاف‌الیه خواهد بود، و این نزدیک‌ترین مجاز به حقیقت بوده و در صورت تعذّر حمل بر حقیقت، حمل بر آن لازم است.</w:t>
      </w:r>
    </w:p>
    <w:p w14:paraId="67C108F9" w14:textId="77777777" w:rsidR="00C87AA4" w:rsidRDefault="00C87AA4" w:rsidP="00C87AA4">
      <w:pPr>
        <w:widowControl w:val="0"/>
        <w:bidi/>
        <w:spacing w:before="240"/>
        <w:ind w:firstLine="289"/>
        <w:jc w:val="both"/>
        <w:rPr>
          <w:rFonts w:cs="2  Mitra" w:hint="cs"/>
          <w:sz w:val="28"/>
          <w:szCs w:val="28"/>
          <w:rtl/>
        </w:rPr>
      </w:pPr>
      <w:r>
        <w:rPr>
          <w:rFonts w:cs="2  Mitra" w:hint="cs"/>
          <w:spacing w:val="-4"/>
          <w:sz w:val="28"/>
          <w:szCs w:val="28"/>
          <w:rtl/>
        </w:rPr>
        <w:t>اما مفرد مضاف به خودی خود دلالت بر عموم ندارد؛ زيرا برخلاف جمع که مدلولش افراد است و نزد شنونده در صورت نبود عهد، هیچ مرتبه</w:t>
      </w:r>
      <w:r>
        <w:rPr>
          <w:rFonts w:cs="2  Mitra" w:hint="cs"/>
          <w:spacing w:val="-4"/>
          <w:sz w:val="28"/>
          <w:szCs w:val="28"/>
          <w:rtl/>
        </w:rPr>
        <w:softHyphen/>
        <w:t>ی معیّنی از آن جز «همه</w:t>
      </w:r>
      <w:r>
        <w:rPr>
          <w:rFonts w:cs="2  Mitra" w:hint="cs"/>
          <w:spacing w:val="-4"/>
          <w:sz w:val="28"/>
          <w:szCs w:val="28"/>
          <w:rtl/>
        </w:rPr>
        <w:softHyphen/>
        <w:t>ی افراد» وجود ندارد، مدلول مفرد، ماهیت و جنس می‌باشد و می‌توان تعیّن آن را به اعتبار جنسی، صنفی یا شخصی لحاظ کرد. بنابر این حمل آن بر همه</w:t>
      </w:r>
      <w:r>
        <w:rPr>
          <w:rFonts w:cs="2  Mitra" w:hint="cs"/>
          <w:spacing w:val="-4"/>
          <w:sz w:val="28"/>
          <w:szCs w:val="28"/>
          <w:rtl/>
        </w:rPr>
        <w:softHyphen/>
        <w:t>ی افراد به استناد بیانی که در جمع گفته شد، ممکن نيست</w:t>
      </w:r>
      <w:r>
        <w:rPr>
          <w:rFonts w:cs="2  Mitra" w:hint="cs"/>
          <w:sz w:val="28"/>
          <w:szCs w:val="28"/>
          <w:rtl/>
        </w:rPr>
        <w:t>.</w:t>
      </w:r>
      <w:r>
        <w:rPr>
          <w:rStyle w:val="FootnoteReference"/>
          <w:rFonts w:cs="2  Mitra"/>
          <w:sz w:val="28"/>
          <w:szCs w:val="28"/>
          <w:rtl/>
        </w:rPr>
        <w:footnoteReference w:id="3"/>
      </w:r>
    </w:p>
    <w:p w14:paraId="73821763" w14:textId="77777777" w:rsidR="00C87AA4" w:rsidRDefault="00C87AA4" w:rsidP="00C87AA4">
      <w:pPr>
        <w:widowControl w:val="0"/>
        <w:bidi/>
        <w:spacing w:before="240"/>
        <w:ind w:firstLine="289"/>
        <w:jc w:val="both"/>
        <w:rPr>
          <w:rFonts w:cs="2  Mitra" w:hint="cs"/>
          <w:sz w:val="28"/>
          <w:szCs w:val="28"/>
          <w:rtl/>
        </w:rPr>
      </w:pPr>
      <w:r>
        <w:rPr>
          <w:rFonts w:cs="2  Mitra" w:hint="cs"/>
          <w:sz w:val="28"/>
          <w:szCs w:val="28"/>
          <w:rtl/>
        </w:rPr>
        <w:t>اما اشکال توجيهی که ايشان ارائه داده</w:t>
      </w:r>
      <w:r>
        <w:rPr>
          <w:rFonts w:cs="2  Mitra" w:hint="cs"/>
          <w:sz w:val="28"/>
          <w:szCs w:val="28"/>
          <w:rtl/>
        </w:rPr>
        <w:softHyphen/>
        <w:t xml:space="preserve">اند همان اشکالی است که بر توجيه ايشان در خصوص چرایی افاده عموم توسط جمع معرف به لام وارد است مبنی بر اين که افاده عموم بنابر اين توجيه، مبتنی بر تماميت مقدمات حکمت است که مربوط </w:t>
      </w:r>
      <w:r>
        <w:rPr>
          <w:rFonts w:cs="2  Mitra" w:hint="cs"/>
          <w:sz w:val="28"/>
          <w:szCs w:val="28"/>
          <w:rtl/>
        </w:rPr>
        <w:lastRenderedPageBreak/>
        <w:t>به مقام دلالت تصدیقیه است، در حالی که افاده عموم توسط جمع مضاف، در مرحله دلالت تصوریه انجام می</w:t>
      </w:r>
      <w:r>
        <w:rPr>
          <w:rFonts w:cs="2  Mitra" w:hint="cs"/>
          <w:sz w:val="28"/>
          <w:szCs w:val="28"/>
          <w:rtl/>
        </w:rPr>
        <w:softHyphen/>
        <w:t>پذيرد.</w:t>
      </w:r>
    </w:p>
    <w:p w14:paraId="60C8367C" w14:textId="77777777" w:rsidR="00C87AA4" w:rsidRDefault="00C87AA4" w:rsidP="00C87AA4">
      <w:pPr>
        <w:widowControl w:val="0"/>
        <w:bidi/>
        <w:spacing w:before="240"/>
        <w:ind w:firstLine="289"/>
        <w:jc w:val="both"/>
        <w:rPr>
          <w:rFonts w:cs="2  Mitra" w:hint="cs"/>
          <w:sz w:val="28"/>
          <w:szCs w:val="28"/>
          <w:rtl/>
        </w:rPr>
      </w:pPr>
      <w:r>
        <w:rPr>
          <w:rFonts w:cs="2  Mitra" w:hint="cs"/>
          <w:spacing w:val="-2"/>
          <w:sz w:val="28"/>
          <w:szCs w:val="28"/>
          <w:rtl/>
        </w:rPr>
        <w:t>بنابر اين توجيه ديگری برای اين مطلب بايد ارائه کرد که جلسه آينده به بیان آن خواهيم پرداخت ان شاء الله.</w:t>
      </w:r>
    </w:p>
    <w:p w14:paraId="7BDF2742" w14:textId="77777777" w:rsidR="00C87AA4" w:rsidRDefault="00C87AA4" w:rsidP="00C87AA4">
      <w:pPr>
        <w:widowControl w:val="0"/>
        <w:bidi/>
        <w:spacing w:before="240"/>
        <w:ind w:firstLine="289"/>
        <w:jc w:val="both"/>
        <w:rPr>
          <w:rFonts w:cs="2  Mitra"/>
          <w:sz w:val="28"/>
          <w:szCs w:val="28"/>
        </w:rPr>
      </w:pPr>
      <w:r>
        <w:rPr>
          <w:rFonts w:cs="2  Mitra" w:hint="cs"/>
          <w:sz w:val="28"/>
          <w:szCs w:val="28"/>
          <w:rtl/>
        </w:rPr>
        <w:br w:type="page"/>
      </w:r>
    </w:p>
    <w:p w14:paraId="3AF2049D" w14:textId="77777777" w:rsidR="00C87AA4" w:rsidRDefault="00C87AA4" w:rsidP="00C87AA4">
      <w:pPr>
        <w:widowControl w:val="0"/>
        <w:bidi/>
        <w:spacing w:after="0"/>
        <w:ind w:firstLine="284"/>
        <w:jc w:val="both"/>
        <w:rPr>
          <w:rFonts w:cs="Abz-2 (Badr)" w:hint="cs"/>
          <w:sz w:val="28"/>
          <w:szCs w:val="28"/>
          <w:rtl/>
        </w:rPr>
      </w:pPr>
      <w:r>
        <w:rPr>
          <w:rFonts w:cs="Abz-2 (Badr)" w:hint="cs"/>
          <w:sz w:val="28"/>
          <w:szCs w:val="28"/>
          <w:rtl/>
        </w:rPr>
        <w:lastRenderedPageBreak/>
        <w:t>قد ذكرنا أنّ ظاهر كلام الآخوند الذي نقلناه في الجلسة السابقة، هو أنّه قد عدل عن مبناه في إفادة العموم بواسطة أدواته في خصوص ما يستفاد من مدخولها بمقتضى تماميّة مقدّمات الحكمة.</w:t>
      </w:r>
    </w:p>
    <w:p w14:paraId="71A7DBC4" w14:textId="77777777" w:rsidR="00C87AA4" w:rsidRDefault="00C87AA4" w:rsidP="00C87AA4">
      <w:pPr>
        <w:widowControl w:val="0"/>
        <w:bidi/>
        <w:spacing w:after="0"/>
        <w:ind w:firstLine="284"/>
        <w:jc w:val="both"/>
        <w:rPr>
          <w:rFonts w:cs="Abz-2 (Badr)" w:hint="cs"/>
          <w:color w:val="0070C0"/>
          <w:sz w:val="28"/>
          <w:szCs w:val="28"/>
          <w:rtl/>
          <w:lang w:bidi="fa-IR"/>
        </w:rPr>
      </w:pPr>
      <w:r>
        <w:rPr>
          <w:rFonts w:cs="Abz-2 (Badr)" w:hint="cs"/>
          <w:sz w:val="28"/>
          <w:szCs w:val="28"/>
          <w:rtl/>
        </w:rPr>
        <w:t>ومؤيّد ذلك ما ورد في تقريرات درسه التي دوّنها المحقّق القزويني حيث جاء فيها:</w:t>
      </w:r>
      <w:r>
        <w:rPr>
          <w:rFonts w:cs="2  Mitra" w:hint="cs"/>
          <w:sz w:val="28"/>
          <w:szCs w:val="28"/>
          <w:rtl/>
          <w:lang w:bidi="fa-IR"/>
        </w:rPr>
        <w:t xml:space="preserve"> </w:t>
      </w:r>
      <w:r>
        <w:rPr>
          <w:rFonts w:cs="Abz-2 (Badr)" w:hint="cs"/>
          <w:color w:val="0070C0"/>
          <w:sz w:val="28"/>
          <w:szCs w:val="28"/>
          <w:rtl/>
          <w:lang w:bidi="fa-IR"/>
        </w:rPr>
        <w:t>«اللهمّ إلّا أن يدّعی أنّ قضيّة وقوع النکرة في سياق النفي إحاطة النفي بتمام أفراد الطبيعة وإن أُخذت مهملة، بأن يکون الظاهر المتفاهم منها عرفاً الشمول لتل</w:t>
      </w:r>
      <w:r>
        <w:rPr>
          <w:rFonts w:cs="Abz-2 (Badr)" w:hint="cs"/>
          <w:color w:val="0070C0"/>
          <w:sz w:val="28"/>
          <w:szCs w:val="28"/>
          <w:rtl/>
        </w:rPr>
        <w:t xml:space="preserve">ك </w:t>
      </w:r>
      <w:r>
        <w:rPr>
          <w:rFonts w:cs="Abz-2 (Badr)" w:hint="cs"/>
          <w:color w:val="0070C0"/>
          <w:sz w:val="28"/>
          <w:szCs w:val="28"/>
          <w:rtl/>
          <w:lang w:bidi="fa-IR"/>
        </w:rPr>
        <w:t>الأفراد بأسرها من غير شذوذ فرد منها وإن لم تقم قرينة عليه من مقدّمات حکمة، بل بنفسها وضعاً أو إطلاقاً دالّة علی استيعاب الحکم لتمام مصاديق الطبيعة؛ ولا شاهد عليها.</w:t>
      </w:r>
    </w:p>
    <w:p w14:paraId="4FA6DB26" w14:textId="77777777" w:rsidR="00C87AA4" w:rsidRDefault="00C87AA4" w:rsidP="00C87AA4">
      <w:pPr>
        <w:widowControl w:val="0"/>
        <w:bidi/>
        <w:spacing w:after="0"/>
        <w:ind w:firstLine="284"/>
        <w:jc w:val="both"/>
        <w:rPr>
          <w:rFonts w:cs="2  Mitra" w:hint="cs"/>
          <w:sz w:val="28"/>
          <w:szCs w:val="28"/>
          <w:rtl/>
          <w:lang w:bidi="fa-IR"/>
        </w:rPr>
      </w:pPr>
      <w:r>
        <w:rPr>
          <w:rFonts w:cs="Abz-2 (Badr)" w:hint="cs"/>
          <w:color w:val="0070C0"/>
          <w:sz w:val="28"/>
          <w:szCs w:val="28"/>
          <w:rtl/>
          <w:lang w:bidi="fa-IR"/>
        </w:rPr>
        <w:t>ولو تمّ ذل</w:t>
      </w:r>
      <w:r>
        <w:rPr>
          <w:rFonts w:cs="Abz-2 (Badr)" w:hint="cs"/>
          <w:color w:val="0070C0"/>
          <w:sz w:val="28"/>
          <w:szCs w:val="28"/>
          <w:rtl/>
        </w:rPr>
        <w:t>ك</w:t>
      </w:r>
      <w:r>
        <w:rPr>
          <w:rFonts w:cs="Abz-2 (Badr)" w:hint="cs"/>
          <w:color w:val="0070C0"/>
          <w:sz w:val="28"/>
          <w:szCs w:val="28"/>
          <w:rtl/>
          <w:lang w:bidi="fa-IR"/>
        </w:rPr>
        <w:t xml:space="preserve"> تکون دلالة النکرة المنفيّة علی العموم لفظيّة لا عقليّة، ولکن لا سبيل إليه، لما عرفت من أنّ مقتضی وضعها غير ذل</w:t>
      </w:r>
      <w:r>
        <w:rPr>
          <w:rFonts w:cs="Abz-2 (Badr)" w:hint="cs"/>
          <w:color w:val="0070C0"/>
          <w:sz w:val="28"/>
          <w:szCs w:val="28"/>
          <w:rtl/>
        </w:rPr>
        <w:t>ك</w:t>
      </w:r>
      <w:r>
        <w:rPr>
          <w:rFonts w:cs="Abz-2 (Badr)" w:hint="cs"/>
          <w:color w:val="0070C0"/>
          <w:sz w:val="28"/>
          <w:szCs w:val="28"/>
          <w:rtl/>
          <w:lang w:bidi="fa-IR"/>
        </w:rPr>
        <w:t xml:space="preserve"> نظراً إلی کلمة النفي ومدخولها المأخوذ لا بشرط الصالح للإطلاق والتقييد.»</w:t>
      </w:r>
      <w:r>
        <w:rPr>
          <w:rStyle w:val="FootnoteReference"/>
          <w:rFonts w:cs="Abz-2 (Badr)"/>
          <w:sz w:val="28"/>
          <w:szCs w:val="28"/>
          <w:rtl/>
        </w:rPr>
        <w:footnoteReference w:id="4"/>
      </w:r>
    </w:p>
    <w:p w14:paraId="4F321ED7" w14:textId="77777777" w:rsidR="00C87AA4" w:rsidRDefault="00C87AA4" w:rsidP="00C87AA4">
      <w:pPr>
        <w:widowControl w:val="0"/>
        <w:bidi/>
        <w:spacing w:after="0"/>
        <w:ind w:firstLine="284"/>
        <w:jc w:val="both"/>
        <w:rPr>
          <w:rFonts w:cs="Abz-2 (Badr)" w:hint="cs"/>
          <w:sz w:val="28"/>
          <w:szCs w:val="28"/>
          <w:rtl/>
        </w:rPr>
      </w:pPr>
      <w:r>
        <w:rPr>
          <w:rFonts w:cs="Abz-2 (Badr)" w:hint="cs"/>
          <w:sz w:val="28"/>
          <w:szCs w:val="28"/>
          <w:rtl/>
        </w:rPr>
        <w:t>وظاهر هذا الكلام ـ كما هو بيّن ـ أنّه إذا كانت الدلالة على العموم مبنيّة على الوضع، فلا حاجة إلى تماميّة مقدّمات الحكمة في إفادة العموم. وحيث إنّ دلالة أدوات العموم ـ كلفظ «كلّ» ـ عليه دلالة وضعيّة، لزم أن يلتزم بأنّه لا حاجة في إفادة العموم بواسطة هذه الأدوات إلى تماميّة مقدّمات الحكمة في مدخولها.</w:t>
      </w:r>
    </w:p>
    <w:p w14:paraId="50D5F65F" w14:textId="77777777" w:rsidR="00C87AA4" w:rsidRDefault="00C87AA4" w:rsidP="00C87AA4">
      <w:pPr>
        <w:widowControl w:val="0"/>
        <w:bidi/>
        <w:spacing w:after="0"/>
        <w:ind w:firstLine="284"/>
        <w:jc w:val="both"/>
        <w:rPr>
          <w:rFonts w:cs="Abz-2 (Badr)" w:hint="cs"/>
          <w:sz w:val="28"/>
          <w:szCs w:val="28"/>
          <w:rtl/>
        </w:rPr>
      </w:pPr>
      <w:r>
        <w:rPr>
          <w:rFonts w:cs="Abz-2 (Badr)" w:hint="cs"/>
          <w:sz w:val="28"/>
          <w:szCs w:val="28"/>
          <w:rtl/>
        </w:rPr>
        <w:t>وأمّا ما ذكره في شأن الاسم المعرّف باللام، فهو إشارة إلى النكتة السابقة، بمعنى أنّ الأخذ بالعموم في هذه الموارد أيضاً موقوف على تماميّة مقدّمات الحكمة في مدخول اللام.</w:t>
      </w:r>
      <w:r>
        <w:rPr>
          <w:rFonts w:cs="Abz-2 (Badr)" w:hint="cs"/>
          <w:sz w:val="28"/>
          <w:szCs w:val="28"/>
          <w:rtl/>
          <w:lang w:bidi="fa-IR"/>
        </w:rPr>
        <w:t xml:space="preserve"> وأمّا </w:t>
      </w:r>
      <w:r>
        <w:rPr>
          <w:rFonts w:cs="Abz-2 (Badr)" w:hint="cs"/>
          <w:sz w:val="28"/>
          <w:szCs w:val="28"/>
          <w:rtl/>
        </w:rPr>
        <w:t>إذا کان مدخول اللام مقيّداً ـ كما في قولنا: «أكرم العلماء العدول» ـ فليس هذا القيد مانعاً من العموم ولا يصحّ الادّعاء بأنّ العموم في هذه الموارد قد خصّص، بل إنّ العموم الذي تفيده اللام هنا إنّما يتحقّق مع ملاحظة التضييق الحاصل في المدخول منذ الابتداء بذكر القيد. ومن ثمّ فإنّ دخول اللام على المدخول المقيّد يفيد العموم بالإضافة إلى جميع أفراد العالم العادل.</w:t>
      </w:r>
    </w:p>
    <w:p w14:paraId="3B59734D" w14:textId="77777777" w:rsidR="00C87AA4" w:rsidRDefault="00C87AA4" w:rsidP="00C87AA4">
      <w:pPr>
        <w:widowControl w:val="0"/>
        <w:bidi/>
        <w:spacing w:after="0"/>
        <w:ind w:firstLine="284"/>
        <w:jc w:val="both"/>
        <w:rPr>
          <w:rFonts w:cs="Abz-2 (Badr)" w:hint="cs"/>
          <w:sz w:val="28"/>
          <w:szCs w:val="28"/>
          <w:rtl/>
        </w:rPr>
      </w:pPr>
      <w:r>
        <w:rPr>
          <w:rFonts w:cs="Abz-2 (Badr)" w:hint="cs"/>
          <w:sz w:val="28"/>
          <w:szCs w:val="28"/>
          <w:rtl/>
        </w:rPr>
        <w:t>وهذا الكلام وإن كان صحيحاً في مورد ما إذا كان مدخول «اللام» مقيّداً بقيد ما، إلّا أنّ القول بأنّ إفادة شمول مدخول «اللام» لجميع أفراده في حال عدم وجود أيّ قيد متوقّفة على تماميّة مقدّمات الحكمة، يرد عليه الإشكال الذي تقدّم بيانه.</w:t>
      </w:r>
    </w:p>
    <w:p w14:paraId="71A9342D" w14:textId="77777777" w:rsidR="00C87AA4" w:rsidRDefault="00C87AA4" w:rsidP="00C87AA4">
      <w:pPr>
        <w:widowControl w:val="0"/>
        <w:bidi/>
        <w:spacing w:after="0"/>
        <w:ind w:firstLine="284"/>
        <w:jc w:val="both"/>
        <w:rPr>
          <w:rFonts w:cs="Abz-2 (Badr)" w:hint="cs"/>
          <w:sz w:val="28"/>
          <w:szCs w:val="28"/>
          <w:rtl/>
        </w:rPr>
      </w:pPr>
      <w:r>
        <w:rPr>
          <w:rFonts w:cs="Abz-2 (Badr)" w:hint="cs"/>
          <w:sz w:val="28"/>
          <w:szCs w:val="28"/>
          <w:rtl/>
        </w:rPr>
        <w:t>كما يتّضح على ضوء ما سبق، وجه الإشكال في ما ادّعاه من أنّ إفادة العموم بواسطة الاسم المحلّى باللام ليست مبنيّة على الوضع، بل على تماميّة مقدّمات الحكمة أو القرائن المصاحبة للكلام.</w:t>
      </w:r>
    </w:p>
    <w:p w14:paraId="03438F13" w14:textId="77777777" w:rsidR="00C87AA4" w:rsidRDefault="00C87AA4" w:rsidP="00C87AA4">
      <w:pPr>
        <w:widowControl w:val="0"/>
        <w:tabs>
          <w:tab w:val="num" w:pos="1440"/>
        </w:tabs>
        <w:bidi/>
        <w:spacing w:after="0"/>
        <w:ind w:firstLine="284"/>
        <w:jc w:val="both"/>
        <w:rPr>
          <w:rFonts w:ascii="Neirizi" w:hAnsi="Neirizi" w:cs="Neirizi" w:hint="cs"/>
          <w:spacing w:val="14"/>
          <w:sz w:val="24"/>
          <w:szCs w:val="24"/>
          <w:rtl/>
          <w:lang w:bidi="fa-IR"/>
        </w:rPr>
      </w:pPr>
      <w:r>
        <w:rPr>
          <w:rFonts w:ascii="Neirizi" w:hAnsi="Neirizi" w:cs="Neirizi"/>
          <w:spacing w:val="14"/>
          <w:sz w:val="24"/>
          <w:szCs w:val="24"/>
          <w:rtl/>
          <w:lang w:bidi="fa-IR"/>
        </w:rPr>
        <w:lastRenderedPageBreak/>
        <w:t>٤</w:t>
      </w:r>
      <w:r>
        <w:rPr>
          <w:rFonts w:ascii="Neirizi" w:hAnsi="Neirizi" w:cs="Neirizi"/>
          <w:spacing w:val="14"/>
          <w:sz w:val="24"/>
          <w:szCs w:val="24"/>
          <w:lang w:bidi="fa-IR"/>
        </w:rPr>
        <w:t xml:space="preserve"> </w:t>
      </w:r>
      <w:r>
        <w:rPr>
          <w:rFonts w:ascii="Neirizi" w:hAnsi="Neirizi" w:cs="Neirizi"/>
          <w:spacing w:val="14"/>
          <w:sz w:val="24"/>
          <w:szCs w:val="24"/>
          <w:rtl/>
          <w:lang w:bidi="fa-IR"/>
        </w:rPr>
        <w:t>ـ الجمع المضاف</w:t>
      </w:r>
    </w:p>
    <w:p w14:paraId="51D46E98" w14:textId="77777777" w:rsidR="00C87AA4" w:rsidRDefault="00C87AA4" w:rsidP="00C87AA4">
      <w:pPr>
        <w:widowControl w:val="0"/>
        <w:bidi/>
        <w:spacing w:after="0"/>
        <w:ind w:firstLine="284"/>
        <w:jc w:val="both"/>
        <w:rPr>
          <w:rFonts w:cs="Abz-2 (Badr)"/>
          <w:sz w:val="28"/>
          <w:szCs w:val="28"/>
        </w:rPr>
      </w:pPr>
      <w:r>
        <w:rPr>
          <w:rFonts w:cs="Abz-2 (Badr)" w:hint="cs"/>
          <w:sz w:val="28"/>
          <w:szCs w:val="28"/>
          <w:rtl/>
        </w:rPr>
        <w:t>قال صاحب الفصول في بيان إفادة العموم من «الجمع المضاف» وعدم إفادته من «المفرد المضاف»: إنّ الجمع المضاف كالجمع المعرّف باللام ظاهر في العموم، ومنشأُ ذلك هو اقتضاء أصل وضع الإضافة للإشارة إلى شيء معهود عند المخاطب.</w:t>
      </w:r>
    </w:p>
    <w:p w14:paraId="5DA39AE1" w14:textId="77777777" w:rsidR="00C87AA4" w:rsidRDefault="00C87AA4" w:rsidP="00C87AA4">
      <w:pPr>
        <w:widowControl w:val="0"/>
        <w:bidi/>
        <w:spacing w:after="0"/>
        <w:ind w:firstLine="284"/>
        <w:jc w:val="both"/>
        <w:rPr>
          <w:rFonts w:cs="Abz-2 (Badr)" w:hint="cs"/>
          <w:sz w:val="28"/>
          <w:szCs w:val="28"/>
          <w:rtl/>
          <w:lang w:bidi="fa-IR"/>
        </w:rPr>
      </w:pPr>
      <w:r>
        <w:rPr>
          <w:rFonts w:cs="Abz-2 (Badr)" w:hint="cs"/>
          <w:sz w:val="28"/>
          <w:szCs w:val="28"/>
          <w:rtl/>
        </w:rPr>
        <w:t>وبناءً على ذلك، فكلّما لم توجد قرينة على تعيين بعض الأفراد في الجمع المضاف إلى معرّف ـ كقولنا: «علماءُ البلد» ـ يحمل اللفظ على الاستغراق لجميع الأفراد، لأنّ هذه المرتبة هي المتعيّنة عند المخاطب، بخلاف المراتب الأدنى التي تكون مردّدة بين جماعات متعدّدة.</w:t>
      </w:r>
    </w:p>
    <w:p w14:paraId="68799C87" w14:textId="77777777" w:rsidR="00C87AA4" w:rsidRDefault="00C87AA4" w:rsidP="00C87AA4">
      <w:pPr>
        <w:widowControl w:val="0"/>
        <w:bidi/>
        <w:spacing w:after="0"/>
        <w:ind w:firstLine="284"/>
        <w:jc w:val="both"/>
        <w:rPr>
          <w:rFonts w:cs="Abz-2 (Badr)"/>
          <w:sz w:val="28"/>
          <w:szCs w:val="28"/>
        </w:rPr>
      </w:pPr>
      <w:r>
        <w:rPr>
          <w:rFonts w:cs="Abz-2 (Badr)" w:hint="cs"/>
          <w:sz w:val="28"/>
          <w:szCs w:val="28"/>
          <w:rtl/>
        </w:rPr>
        <w:t>وأمّا توجيه إفادة العموم في الجمع المضاف إلى نكرة فهو أنّ المضاف إليه لا يوجب تعييناً، فلو حمل المضاف على بعض غير معيّن، لكان إبهامه أشدّ، وهذا مخالف لأصل الإضافة. وأمّا إذا حمل على المجموع، فإنّ الإبهام لا يكون إلّا من جهة المضاف إليه، وذلك أقرب المجازات إلى الحقيقة، فيلزم الحمل عليه عند تعذّر الحمل على الحقيقة.</w:t>
      </w:r>
    </w:p>
    <w:p w14:paraId="1C76CB60" w14:textId="77777777" w:rsidR="00C87AA4" w:rsidRDefault="00C87AA4" w:rsidP="00C87AA4">
      <w:pPr>
        <w:widowControl w:val="0"/>
        <w:bidi/>
        <w:spacing w:after="0"/>
        <w:ind w:firstLine="284"/>
        <w:jc w:val="both"/>
        <w:rPr>
          <w:rFonts w:cs="Abz-2 (Badr)" w:hint="cs"/>
          <w:sz w:val="28"/>
          <w:szCs w:val="28"/>
          <w:rtl/>
        </w:rPr>
      </w:pPr>
      <w:r>
        <w:rPr>
          <w:rFonts w:cs="Abz-2 (Badr)" w:hint="cs"/>
          <w:sz w:val="28"/>
          <w:szCs w:val="28"/>
          <w:rtl/>
        </w:rPr>
        <w:t>وهذا بخلاف المفرد المضاف، فإنّه لا يدلّ بنفسه على العموم، لأنّ مدلول المفرد ـ بخلاف الجمع الذي مدلوله الأفراد، ولا تكون عند السامع في حال عدم العهد مرتبة معيّنة منه سوى جميع الأفراد ـ هو الماهيّة أو الجنس، ويمكن لحاظ تعيّنه باعتبار جنسي أو صنفي أو شخصي. وبناءً على ذلك لا يصحّ حمله على جميع الأفراد استناداً إلى البيان المتقدّم في شأن الجمع المضاف.</w:t>
      </w:r>
      <w:r>
        <w:rPr>
          <w:rStyle w:val="FootnoteReference"/>
          <w:rFonts w:cs="Abz-2 (Badr)"/>
          <w:sz w:val="28"/>
          <w:szCs w:val="28"/>
          <w:rtl/>
        </w:rPr>
        <w:footnoteReference w:id="5"/>
      </w:r>
    </w:p>
    <w:p w14:paraId="1464DDAC" w14:textId="77777777" w:rsidR="00C87AA4" w:rsidRDefault="00C87AA4" w:rsidP="00C87AA4">
      <w:pPr>
        <w:widowControl w:val="0"/>
        <w:bidi/>
        <w:spacing w:after="0"/>
        <w:ind w:firstLine="284"/>
        <w:jc w:val="both"/>
        <w:rPr>
          <w:rFonts w:cs="Abz-2 (Badr)" w:hint="cs"/>
          <w:sz w:val="28"/>
          <w:szCs w:val="28"/>
          <w:rtl/>
        </w:rPr>
      </w:pPr>
      <w:r>
        <w:rPr>
          <w:rFonts w:cs="Abz-2 (Badr)" w:hint="cs"/>
          <w:b/>
          <w:bCs/>
          <w:sz w:val="28"/>
          <w:szCs w:val="28"/>
          <w:rtl/>
        </w:rPr>
        <w:t>أقول:</w:t>
      </w:r>
      <w:r>
        <w:rPr>
          <w:rFonts w:cs="Abz-2 (Badr)" w:hint="cs"/>
          <w:sz w:val="28"/>
          <w:szCs w:val="28"/>
          <w:rtl/>
        </w:rPr>
        <w:t xml:space="preserve"> إنّ الإشكال في التوجيه الذي ذكره، هو عين الإشكال الوارد على توجيهه في بيان وجه إفادة العموم من الجمع المعرّف باللام، وهو أنّ إفادة العموم على هذا التوجيه مبنيّة على تماميّة مقدّمات الحكمة، وهي من شؤون مقام الدلالة التصديقيّة، في حين أنّ إفادة الجمع المضاف للعموم تقع في مرحلة الدلالة التصوّريّة.</w:t>
      </w:r>
    </w:p>
    <w:p w14:paraId="7C98C102" w14:textId="77777777" w:rsidR="00C87AA4" w:rsidRDefault="00C87AA4" w:rsidP="00C87AA4">
      <w:pPr>
        <w:widowControl w:val="0"/>
        <w:bidi/>
        <w:spacing w:after="0"/>
        <w:ind w:firstLine="284"/>
        <w:jc w:val="both"/>
        <w:rPr>
          <w:rFonts w:cs="Abz-2 (Badr)" w:hint="cs"/>
          <w:sz w:val="28"/>
          <w:szCs w:val="28"/>
          <w:rtl/>
          <w:lang w:bidi="fa-IR"/>
        </w:rPr>
      </w:pPr>
      <w:r>
        <w:rPr>
          <w:rFonts w:cs="Abz-2 (Badr)" w:hint="cs"/>
          <w:sz w:val="28"/>
          <w:szCs w:val="28"/>
          <w:rtl/>
        </w:rPr>
        <w:t>وبناءً على ذلك، لابدّ من تقديم توجيه آخر لهذا الأمر، وسنذكره في الجلسة القادمة إن شاء الله تعالی.</w:t>
      </w:r>
    </w:p>
    <w:p w14:paraId="7D9979DE" w14:textId="26D41A3F" w:rsidR="001B24FC" w:rsidRPr="00C87AA4" w:rsidRDefault="001B24FC" w:rsidP="00C87AA4">
      <w:pPr>
        <w:rPr>
          <w:rtl/>
        </w:rPr>
      </w:pPr>
    </w:p>
    <w:sectPr w:rsidR="001B24FC" w:rsidRPr="00C87AA4"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F4073" w14:textId="77777777" w:rsidR="00EF450B" w:rsidRDefault="00EF450B" w:rsidP="00C336C5">
      <w:pPr>
        <w:spacing w:after="0" w:line="240" w:lineRule="auto"/>
      </w:pPr>
      <w:r>
        <w:separator/>
      </w:r>
    </w:p>
  </w:endnote>
  <w:endnote w:type="continuationSeparator" w:id="0">
    <w:p w14:paraId="4D846F7A" w14:textId="77777777" w:rsidR="00EF450B" w:rsidRDefault="00EF450B" w:rsidP="00C336C5">
      <w:pPr>
        <w:spacing w:after="0" w:line="240" w:lineRule="auto"/>
      </w:pPr>
      <w:r>
        <w:continuationSeparator/>
      </w:r>
    </w:p>
  </w:endnote>
  <w:endnote w:type="continuationNotice" w:id="1">
    <w:p w14:paraId="080BFB31" w14:textId="77777777" w:rsidR="00EF450B" w:rsidRDefault="00EF45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Neirizi">
    <w:panose1 w:val="02000503000000020003"/>
    <w:charset w:val="00"/>
    <w:family w:val="auto"/>
    <w:pitch w:val="variable"/>
    <w:sig w:usb0="61002A87" w:usb1="80000000" w:usb2="00000008" w:usb3="00000000" w:csb0="000101FF"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EFD2" w14:textId="77777777" w:rsidR="00C87AA4" w:rsidRDefault="00C87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3935" w14:textId="77777777" w:rsidR="00C87AA4" w:rsidRDefault="00C87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8CF48" w14:textId="77777777" w:rsidR="00EF450B" w:rsidRDefault="00EF450B" w:rsidP="00C336C5">
      <w:pPr>
        <w:bidi/>
        <w:spacing w:after="0" w:line="240" w:lineRule="auto"/>
      </w:pPr>
      <w:r>
        <w:separator/>
      </w:r>
    </w:p>
  </w:footnote>
  <w:footnote w:type="continuationSeparator" w:id="0">
    <w:p w14:paraId="252CBE39" w14:textId="77777777" w:rsidR="00EF450B" w:rsidRDefault="00EF450B" w:rsidP="00C336C5">
      <w:pPr>
        <w:spacing w:after="0" w:line="240" w:lineRule="auto"/>
      </w:pPr>
      <w:r>
        <w:continuationSeparator/>
      </w:r>
    </w:p>
  </w:footnote>
  <w:footnote w:type="continuationNotice" w:id="1">
    <w:p w14:paraId="14B9C17D" w14:textId="77777777" w:rsidR="00EF450B" w:rsidRDefault="00EF450B">
      <w:pPr>
        <w:spacing w:after="0" w:line="240" w:lineRule="auto"/>
      </w:pPr>
    </w:p>
  </w:footnote>
  <w:footnote w:id="2">
    <w:p w14:paraId="0B316C68" w14:textId="77777777" w:rsidR="00C87AA4" w:rsidRDefault="00C87AA4" w:rsidP="00C87AA4">
      <w:pPr>
        <w:pStyle w:val="FootnoteText"/>
        <w:bidi/>
        <w:jc w:val="left"/>
        <w:rPr>
          <w:rFonts w:cs="Abz-2 (Badr)"/>
          <w:lang w:bidi="fa-IR"/>
        </w:rPr>
      </w:pPr>
      <w:r>
        <w:rPr>
          <w:rFonts w:cs="Abz-2 (Badr)"/>
          <w:lang w:bidi="fa-IR"/>
        </w:rPr>
        <w:footnoteRef/>
      </w:r>
      <w:r>
        <w:rPr>
          <w:rFonts w:cs="Abz-2 (Badr)" w:hint="cs"/>
          <w:rtl/>
          <w:lang w:bidi="fa-IR"/>
        </w:rPr>
        <w:t xml:space="preserve"> ـ البحوث الأُصوليّة،ج2،ص401.</w:t>
      </w:r>
    </w:p>
  </w:footnote>
  <w:footnote w:id="3">
    <w:p w14:paraId="02187CDE" w14:textId="77777777" w:rsidR="00C87AA4" w:rsidRDefault="00C87AA4" w:rsidP="00C87AA4">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الفصول الغرويّة،ص173 و 174.</w:t>
      </w:r>
    </w:p>
  </w:footnote>
  <w:footnote w:id="4">
    <w:p w14:paraId="007B1523" w14:textId="77777777" w:rsidR="00C87AA4" w:rsidRDefault="00C87AA4" w:rsidP="00C87AA4">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البحوث الأُصوليّة،ج2،ص401.</w:t>
      </w:r>
    </w:p>
  </w:footnote>
  <w:footnote w:id="5">
    <w:p w14:paraId="0CE693F2" w14:textId="77777777" w:rsidR="00C87AA4" w:rsidRDefault="00C87AA4" w:rsidP="00C87AA4">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ـ راجع: الفصول الغرويّة،ص173 و 174.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1D38" w14:textId="77777777" w:rsidR="00C87AA4" w:rsidRDefault="00C87A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1414EC41"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C87AA4">
                            <w:rPr>
                              <w:rFonts w:cs="B Mehr"/>
                              <w:lang w:bidi="fa-IR"/>
                            </w:rPr>
                            <w:t>17</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1414EC41"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C87AA4">
                      <w:rPr>
                        <w:rFonts w:cs="B Mehr"/>
                        <w:lang w:bidi="fa-IR"/>
                      </w:rPr>
                      <w:t>17</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CD07" w14:textId="77777777" w:rsidR="00C87AA4" w:rsidRDefault="00C87A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02B"/>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393B"/>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4D6B"/>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0A3C"/>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A08"/>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3C4"/>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87AA4"/>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2915"/>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3F9"/>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450B"/>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56989208">
      <w:bodyDiv w:val="1"/>
      <w:marLeft w:val="0"/>
      <w:marRight w:val="0"/>
      <w:marTop w:val="0"/>
      <w:marBottom w:val="0"/>
      <w:divBdr>
        <w:top w:val="none" w:sz="0" w:space="0" w:color="auto"/>
        <w:left w:val="none" w:sz="0" w:space="0" w:color="auto"/>
        <w:bottom w:val="none" w:sz="0" w:space="0" w:color="auto"/>
        <w:right w:val="none" w:sz="0" w:space="0" w:color="auto"/>
      </w:divBdr>
    </w:div>
    <w:div w:id="263193260">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88244255">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4106</TotalTime>
  <Pages>1</Pages>
  <Words>1088</Words>
  <Characters>6207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1240</cp:revision>
  <cp:lastPrinted>2025-04-15T09:36:00Z</cp:lastPrinted>
  <dcterms:created xsi:type="dcterms:W3CDTF">2022-10-16T08:36:00Z</dcterms:created>
  <dcterms:modified xsi:type="dcterms:W3CDTF">2025-11-08T08:30:00Z</dcterms:modified>
</cp:coreProperties>
</file>