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C1D5A" w14:textId="77777777" w:rsidR="009E2A08" w:rsidRDefault="009E2A08" w:rsidP="009E2A08">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14EB979" w14:textId="77777777" w:rsidR="009E2A08" w:rsidRDefault="009E2A08" w:rsidP="009E2A08">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342E1E24" w14:textId="77777777" w:rsidR="009E2A08" w:rsidRDefault="009E2A08" w:rsidP="009E2A08">
      <w:pPr>
        <w:widowControl w:val="0"/>
        <w:bidi/>
        <w:spacing w:after="240"/>
        <w:jc w:val="center"/>
        <w:rPr>
          <w:rFonts w:cs="B Mitra" w:hint="cs"/>
          <w:b/>
          <w:bCs/>
          <w:sz w:val="32"/>
          <w:szCs w:val="32"/>
          <w:rtl/>
          <w:lang w:bidi="fa-IR"/>
        </w:rPr>
      </w:pPr>
      <w:r>
        <w:rPr>
          <w:rFonts w:cs="B Mitra" w:hint="cs"/>
          <w:b/>
          <w:bCs/>
          <w:sz w:val="32"/>
          <w:szCs w:val="32"/>
          <w:rtl/>
          <w:lang w:bidi="fa-IR"/>
        </w:rPr>
        <w:t>جلسه 961</w:t>
      </w:r>
    </w:p>
    <w:bookmarkEnd w:id="0"/>
    <w:p w14:paraId="684713FB" w14:textId="77777777" w:rsidR="009E2A08" w:rsidRDefault="009E2A08" w:rsidP="009E2A08">
      <w:pPr>
        <w:widowControl w:val="0"/>
        <w:bidi/>
        <w:spacing w:before="240"/>
        <w:ind w:firstLine="289"/>
        <w:jc w:val="both"/>
        <w:rPr>
          <w:rFonts w:cs="2  Mitra" w:hint="cs"/>
          <w:sz w:val="28"/>
          <w:szCs w:val="28"/>
          <w:rtl/>
        </w:rPr>
      </w:pPr>
      <w:r>
        <w:rPr>
          <w:rFonts w:cs="2  Mitra" w:hint="cs"/>
          <w:sz w:val="28"/>
          <w:szCs w:val="28"/>
          <w:rtl/>
        </w:rPr>
        <w:t>نقد کلمات مرحوم صاحب فصول را جلسه قبل بیان کردیم.</w:t>
      </w:r>
    </w:p>
    <w:p w14:paraId="09D67A46" w14:textId="77777777" w:rsidR="009E2A08" w:rsidRDefault="009E2A08" w:rsidP="009E2A08">
      <w:pPr>
        <w:widowControl w:val="0"/>
        <w:bidi/>
        <w:spacing w:before="240" w:line="252" w:lineRule="auto"/>
        <w:ind w:firstLine="289"/>
        <w:jc w:val="both"/>
        <w:rPr>
          <w:rFonts w:cs="2  Mitra" w:hint="cs"/>
          <w:sz w:val="28"/>
          <w:szCs w:val="28"/>
          <w:rtl/>
        </w:rPr>
      </w:pPr>
      <w:r>
        <w:rPr>
          <w:rFonts w:cs="2  Mitra" w:hint="cs"/>
          <w:sz w:val="28"/>
          <w:szCs w:val="28"/>
          <w:rtl/>
        </w:rPr>
        <w:t>اما در خصوص مدلول لام و اين که الف و لام برای تعرف مدخول خود وضع شده</w:t>
      </w:r>
      <w:r>
        <w:rPr>
          <w:rFonts w:cs="2  Mitra" w:hint="cs"/>
          <w:sz w:val="28"/>
          <w:szCs w:val="28"/>
          <w:rtl/>
        </w:rPr>
        <w:softHyphen/>
        <w:t>اند، اگر مراد اين است که الف و لام، در برابر معنای اسمی تعريف وضع شده</w:t>
      </w:r>
      <w:r>
        <w:rPr>
          <w:rFonts w:cs="2  Mitra" w:hint="cs"/>
          <w:sz w:val="28"/>
          <w:szCs w:val="28"/>
          <w:rtl/>
        </w:rPr>
        <w:softHyphen/>
        <w:t>اند، اشکال آن واضح است. و اگر منظور اين باشد که در برابر معنای حرفی آن وضع شده</w:t>
      </w:r>
      <w:r>
        <w:rPr>
          <w:rFonts w:cs="2  Mitra" w:hint="cs"/>
          <w:sz w:val="28"/>
          <w:szCs w:val="28"/>
          <w:rtl/>
        </w:rPr>
        <w:softHyphen/>
        <w:t>اند به اين معنا که با ورود الف و لام بر سر مدخول، هيأتی بر آن عارض می</w:t>
      </w:r>
      <w:r>
        <w:rPr>
          <w:rFonts w:cs="2  Mitra" w:hint="cs"/>
          <w:sz w:val="28"/>
          <w:szCs w:val="28"/>
          <w:rtl/>
        </w:rPr>
        <w:softHyphen/>
        <w:t>شود که دلالت بر نسبت تعریفیه می</w:t>
      </w:r>
      <w:r>
        <w:rPr>
          <w:rFonts w:cs="2  Mitra" w:hint="cs"/>
          <w:sz w:val="28"/>
          <w:szCs w:val="28"/>
          <w:rtl/>
        </w:rPr>
        <w:softHyphen/>
        <w:t>کند، در اين صورت اشکال آن اين است که هرچند وضع هيأت در برابر معنای حرفی مدعای صحيحی است، اما نسبت تعریفیه معنای محصّلی ندارد، بلکه نسبتی که هيأت مذکور در برابر آن وضع می</w:t>
      </w:r>
      <w:r>
        <w:rPr>
          <w:rFonts w:cs="2  Mitra" w:hint="cs"/>
          <w:sz w:val="28"/>
          <w:szCs w:val="28"/>
          <w:rtl/>
        </w:rPr>
        <w:softHyphen/>
        <w:t>شود، نسبتی است که بين مدخول الف و لام و امری ديگر قرار دارد و برقراری اين نسبت، سبب می</w:t>
      </w:r>
      <w:r>
        <w:rPr>
          <w:rFonts w:cs="2  Mitra" w:hint="cs"/>
          <w:sz w:val="28"/>
          <w:szCs w:val="28"/>
          <w:rtl/>
        </w:rPr>
        <w:softHyphen/>
        <w:t>شود که ابهام مدخول کاسته شده یا از بین برود و در نتيجه، تعريف مدخول الف و لام از آن برداشت گردد.</w:t>
      </w:r>
    </w:p>
    <w:p w14:paraId="041D8D1A" w14:textId="77777777" w:rsidR="009E2A08" w:rsidRDefault="009E2A08" w:rsidP="009E2A08">
      <w:pPr>
        <w:widowControl w:val="0"/>
        <w:bidi/>
        <w:spacing w:before="240" w:line="252" w:lineRule="auto"/>
        <w:ind w:firstLine="289"/>
        <w:jc w:val="both"/>
        <w:rPr>
          <w:rFonts w:cs="2  Mitra" w:hint="cs"/>
          <w:sz w:val="28"/>
          <w:szCs w:val="28"/>
          <w:rtl/>
        </w:rPr>
      </w:pPr>
      <w:r>
        <w:rPr>
          <w:rFonts w:cs="2  Mitra" w:hint="cs"/>
          <w:sz w:val="28"/>
          <w:szCs w:val="28"/>
          <w:rtl/>
        </w:rPr>
        <w:t>اما آنچه که طرف اين نسبت قرار می</w:t>
      </w:r>
      <w:r>
        <w:rPr>
          <w:rFonts w:cs="2  Mitra" w:hint="cs"/>
          <w:sz w:val="28"/>
          <w:szCs w:val="28"/>
          <w:rtl/>
        </w:rPr>
        <w:softHyphen/>
        <w:t>گيرد، در الف و لام عهد، يک جزئی است، و در الف و لام بیان حقیقت، خصوصیاتی از طبیعت مدخول آن بما هي هي است، و در الف و لام استغراق، خصوصيات مشترک در افراد آن است. در نتيجه با وجود اختلاف در طرف نسبت، نمی</w:t>
      </w:r>
      <w:r>
        <w:rPr>
          <w:rFonts w:cs="2  Mitra" w:hint="cs"/>
          <w:sz w:val="28"/>
          <w:szCs w:val="28"/>
          <w:rtl/>
        </w:rPr>
        <w:softHyphen/>
        <w:t>توان نسبت ـ يا همان موضوع له هيأت ـ را واحد در نظر گرفت، بلکه يا بايد ملتزم شويم که وضع هيأت به نحو مشترک لفظی است، و يا به نحو مشترک معنوی.</w:t>
      </w:r>
    </w:p>
    <w:p w14:paraId="7CBABE5D" w14:textId="77777777" w:rsidR="009E2A08" w:rsidRDefault="009E2A08" w:rsidP="009E2A08">
      <w:pPr>
        <w:widowControl w:val="0"/>
        <w:bidi/>
        <w:spacing w:before="240" w:line="252" w:lineRule="auto"/>
        <w:ind w:firstLine="289"/>
        <w:jc w:val="both"/>
        <w:rPr>
          <w:rFonts w:cs="2  Mitra" w:hint="cs"/>
          <w:sz w:val="28"/>
          <w:szCs w:val="28"/>
          <w:rtl/>
        </w:rPr>
      </w:pPr>
      <w:r>
        <w:rPr>
          <w:rFonts w:cs="2  Mitra" w:hint="cs"/>
          <w:sz w:val="28"/>
          <w:szCs w:val="28"/>
          <w:rtl/>
        </w:rPr>
        <w:t>مرحوم محقق اصفهانی نیز ملتزم به همين معنا شده و می</w:t>
      </w:r>
      <w:r>
        <w:rPr>
          <w:rFonts w:cs="2  Mitra" w:hint="cs"/>
          <w:sz w:val="28"/>
          <w:szCs w:val="28"/>
          <w:rtl/>
        </w:rPr>
        <w:softHyphen/>
        <w:t>فرمايد: «لام» ابزار تعریف و تعیّن است، به این معنا که برای دلالت بر این وضع شده که مدخول آن، در جایگاه تعیّن قرار گرفته است؛ خواه این تعیّن به صورت جنس باشد، یا استغراق، یا عهد با اقسام آن، همانند دیگر ابزارهایی که برای ربط خاصی وضع شده‌اند، مانند «حرف ابتداء» که برای ربط دادن مدخول خود به آنچه پیش از آن آمده، به‌گونه‌ای که «مبتدأ به» را به «مبتدا من عنده» پیوند دهد، وضع شده است.</w:t>
      </w:r>
    </w:p>
    <w:p w14:paraId="2325DE2A" w14:textId="77777777" w:rsidR="009E2A08" w:rsidRDefault="009E2A08" w:rsidP="009E2A08">
      <w:pPr>
        <w:widowControl w:val="0"/>
        <w:bidi/>
        <w:spacing w:before="240" w:line="252" w:lineRule="auto"/>
        <w:ind w:firstLine="289"/>
        <w:jc w:val="both"/>
        <w:rPr>
          <w:rFonts w:cs="2  Mitra"/>
          <w:sz w:val="28"/>
          <w:szCs w:val="28"/>
        </w:rPr>
      </w:pPr>
      <w:r>
        <w:rPr>
          <w:rFonts w:cs="2  Mitra" w:hint="cs"/>
          <w:sz w:val="28"/>
          <w:szCs w:val="28"/>
          <w:rtl/>
        </w:rPr>
        <w:t>بنابر اين مقصود از «اشاره» به مدخول، این است که مدخول به‌گونه‌ای در جایگاه تعیّن و شناخته‌شدگی بر اساس یکی از شیوه‌های یادشده قرار گیرد، نه آن‌که منظور از آن، صرف اشاره</w:t>
      </w:r>
      <w:r>
        <w:rPr>
          <w:rFonts w:cs="2  Mitra" w:hint="cs"/>
          <w:sz w:val="28"/>
          <w:szCs w:val="28"/>
          <w:rtl/>
        </w:rPr>
        <w:softHyphen/>
        <w:t xml:space="preserve">ی ذهنی باشد، به معنای این‌که مدخول صرفاً بما هو ملحوظ، </w:t>
      </w:r>
      <w:r>
        <w:rPr>
          <w:rFonts w:cs="2  Mitra" w:hint="cs"/>
          <w:sz w:val="28"/>
          <w:szCs w:val="28"/>
          <w:rtl/>
        </w:rPr>
        <w:lastRenderedPageBreak/>
        <w:t>مورد لحاظ ذهن قرار گرفته باشد.</w:t>
      </w:r>
      <w:r>
        <w:rPr>
          <w:rStyle w:val="FootnoteReference"/>
          <w:rFonts w:cs="2  Mitra"/>
          <w:sz w:val="28"/>
          <w:szCs w:val="28"/>
          <w:rtl/>
        </w:rPr>
        <w:footnoteReference w:id="2"/>
      </w:r>
    </w:p>
    <w:p w14:paraId="7EC8A5C7" w14:textId="77777777" w:rsidR="009E2A08" w:rsidRDefault="009E2A08" w:rsidP="009E2A08">
      <w:pPr>
        <w:widowControl w:val="0"/>
        <w:bidi/>
        <w:spacing w:before="240" w:line="252" w:lineRule="auto"/>
        <w:ind w:firstLine="289"/>
        <w:jc w:val="both"/>
        <w:rPr>
          <w:rFonts w:cs="2  Mitra"/>
          <w:sz w:val="28"/>
          <w:szCs w:val="28"/>
        </w:rPr>
      </w:pPr>
      <w:r>
        <w:rPr>
          <w:rFonts w:cs="2  Mitra" w:hint="cs"/>
          <w:sz w:val="28"/>
          <w:szCs w:val="28"/>
          <w:rtl/>
        </w:rPr>
        <w:t>با توجه به آنچه گذشت، اشکال مدعای مرحوم آخوند معلوم می</w:t>
      </w:r>
      <w:r>
        <w:rPr>
          <w:rFonts w:cs="2  Mitra" w:hint="cs"/>
          <w:sz w:val="28"/>
          <w:szCs w:val="28"/>
          <w:rtl/>
        </w:rPr>
        <w:softHyphen/>
        <w:t>شود.</w:t>
      </w:r>
    </w:p>
    <w:p w14:paraId="728CD028" w14:textId="77777777" w:rsidR="009E2A08" w:rsidRDefault="009E2A08" w:rsidP="009E2A08">
      <w:pPr>
        <w:widowControl w:val="0"/>
        <w:bidi/>
        <w:spacing w:before="240" w:line="252" w:lineRule="auto"/>
        <w:ind w:firstLine="289"/>
        <w:jc w:val="both"/>
        <w:rPr>
          <w:rFonts w:cs="2  Mitra" w:hint="cs"/>
          <w:sz w:val="28"/>
          <w:szCs w:val="28"/>
          <w:rtl/>
        </w:rPr>
      </w:pPr>
      <w:r>
        <w:rPr>
          <w:rFonts w:cs="2  Mitra" w:hint="cs"/>
          <w:sz w:val="28"/>
          <w:szCs w:val="28"/>
          <w:rtl/>
        </w:rPr>
        <w:t xml:space="preserve"> ايشان در خصوص موضوع له الف و لام می</w:t>
      </w:r>
      <w:r>
        <w:rPr>
          <w:rFonts w:cs="2  Mitra" w:hint="cs"/>
          <w:sz w:val="28"/>
          <w:szCs w:val="28"/>
          <w:rtl/>
        </w:rPr>
        <w:softHyphen/>
        <w:t>فرمايد: معروف است که «لام» برای تعریف وضع شده و در غیر عهد ذهنی، مفید تعیّن است.</w:t>
      </w:r>
    </w:p>
    <w:p w14:paraId="1F1A7AF4" w14:textId="77777777" w:rsidR="009E2A08" w:rsidRDefault="009E2A08" w:rsidP="009E2A08">
      <w:pPr>
        <w:widowControl w:val="0"/>
        <w:bidi/>
        <w:spacing w:before="240" w:line="252" w:lineRule="auto"/>
        <w:ind w:firstLine="289"/>
        <w:jc w:val="both"/>
        <w:rPr>
          <w:rFonts w:cs="2  Mitra" w:hint="cs"/>
          <w:sz w:val="28"/>
          <w:szCs w:val="28"/>
          <w:rtl/>
        </w:rPr>
      </w:pPr>
      <w:r>
        <w:rPr>
          <w:rFonts w:cs="2  Mitra" w:hint="cs"/>
          <w:sz w:val="28"/>
          <w:szCs w:val="28"/>
          <w:rtl/>
        </w:rPr>
        <w:t>امّا روشن است که در تعریف جنس، تعیّنی جز «اشاره» به معنایی که در میان معانی ذهنی بالذات متمایز است وجود ندارد؛ و لازمه</w:t>
      </w:r>
      <w:r>
        <w:rPr>
          <w:rFonts w:cs="2  Mitra" w:hint="cs"/>
          <w:sz w:val="28"/>
          <w:szCs w:val="28"/>
          <w:rtl/>
        </w:rPr>
        <w:softHyphen/>
        <w:t>ی این امر آن است که حمل «</w:t>
      </w:r>
      <w:r>
        <w:rPr>
          <w:rFonts w:cs="Abz-2 (Badr)" w:hint="cs"/>
          <w:sz w:val="28"/>
          <w:szCs w:val="28"/>
          <w:rtl/>
        </w:rPr>
        <w:t>معرّف باللام</w:t>
      </w:r>
      <w:r>
        <w:rPr>
          <w:rFonts w:cs="2  Mitra" w:hint="cs"/>
          <w:sz w:val="28"/>
          <w:szCs w:val="28"/>
          <w:rtl/>
        </w:rPr>
        <w:t>» بما هو معرّف، بر افراد صحیح نباشد؛ زیرا اتّحاد با چیزی که موطنی جز ذهن ندارد، مگر با «تجرید» ممتنع است، و در صورت تجرید نيز، تقييد ثمری نخواهد داشت. علاوه بر آن که تأویل و تصرّف در قضایای رایج عرفی خالی از تکلّف نیست.</w:t>
      </w:r>
    </w:p>
    <w:p w14:paraId="55EBB62F" w14:textId="77777777" w:rsidR="009E2A08" w:rsidRDefault="009E2A08" w:rsidP="009E2A08">
      <w:pPr>
        <w:widowControl w:val="0"/>
        <w:bidi/>
        <w:spacing w:before="240" w:line="261" w:lineRule="auto"/>
        <w:ind w:firstLine="289"/>
        <w:jc w:val="both"/>
        <w:rPr>
          <w:rFonts w:cs="2  Mitra"/>
          <w:sz w:val="28"/>
          <w:szCs w:val="28"/>
        </w:rPr>
      </w:pPr>
      <w:r>
        <w:rPr>
          <w:rFonts w:cs="2  Mitra" w:hint="cs"/>
          <w:sz w:val="28"/>
          <w:szCs w:val="28"/>
          <w:rtl/>
        </w:rPr>
        <w:t>افزون بر این، وضعِ علامتی برای چیزی که نیازی بدان نیست بلکه در استعمالات متعارف مشتمل بر حمل «معرّف به لام» بر چيزی یا حمل چيزی بر آن، ناگزیر باید آن را الغاء کرد، لغو خواهد بود.</w:t>
      </w:r>
    </w:p>
    <w:p w14:paraId="4EB91738" w14:textId="77777777" w:rsidR="009E2A08" w:rsidRDefault="009E2A08" w:rsidP="009E2A08">
      <w:pPr>
        <w:widowControl w:val="0"/>
        <w:bidi/>
        <w:spacing w:before="240" w:line="261" w:lineRule="auto"/>
        <w:ind w:firstLine="289"/>
        <w:jc w:val="both"/>
        <w:rPr>
          <w:rFonts w:ascii="Times New Roman" w:hAnsi="Times New Roman" w:cs="Times New Roman" w:hint="cs"/>
          <w:sz w:val="28"/>
          <w:szCs w:val="28"/>
          <w:rtl/>
        </w:rPr>
      </w:pPr>
      <w:r>
        <w:rPr>
          <w:rFonts w:cs="2  Mitra" w:hint="cs"/>
          <w:sz w:val="28"/>
          <w:szCs w:val="28"/>
          <w:rtl/>
        </w:rPr>
        <w:t>پس ظاهر آن است که «لام» مطلقاً جنبه</w:t>
      </w:r>
      <w:r>
        <w:rPr>
          <w:rFonts w:cs="2  Mitra" w:hint="cs"/>
          <w:sz w:val="28"/>
          <w:szCs w:val="28"/>
          <w:rtl/>
        </w:rPr>
        <w:softHyphen/>
        <w:t>ی «تزیینی» دارد ـ مانند: «الحسن» و «الحسین» ـ و خصوصیات از راه قرائنی که در هر حال برای تعیین لازم‌اند، فهمیده می‌شوند، حتی اگر بپذيريم که «لام» برای «اشاره به معنا»ست. و معلوم است که با وجود دلالت قرائن بر اين معنا، حداقل اين است که اشاره با «لام» به آنها، لغو است اگر نگوییم که مخلّ است</w:t>
      </w:r>
      <w:r>
        <w:rPr>
          <w:rFonts w:ascii="Times New Roman" w:hAnsi="Times New Roman" w:cs="Times New Roman"/>
          <w:sz w:val="28"/>
          <w:szCs w:val="28"/>
          <w:rtl/>
        </w:rPr>
        <w:t>.</w:t>
      </w:r>
      <w:r>
        <w:rPr>
          <w:rStyle w:val="FootnoteReference"/>
          <w:rFonts w:cs="2  Mitra"/>
          <w:sz w:val="28"/>
          <w:szCs w:val="28"/>
          <w:rtl/>
        </w:rPr>
        <w:footnoteReference w:id="3"/>
      </w:r>
    </w:p>
    <w:p w14:paraId="2DBC99A2" w14:textId="77777777" w:rsidR="009E2A08" w:rsidRDefault="009E2A08" w:rsidP="009E2A08">
      <w:pPr>
        <w:widowControl w:val="0"/>
        <w:bidi/>
        <w:spacing w:before="240" w:line="261" w:lineRule="auto"/>
        <w:ind w:firstLine="289"/>
        <w:jc w:val="both"/>
        <w:rPr>
          <w:rFonts w:cs="2  Mitra"/>
          <w:sz w:val="28"/>
          <w:szCs w:val="28"/>
          <w:rtl/>
        </w:rPr>
      </w:pPr>
      <w:r>
        <w:rPr>
          <w:rFonts w:cs="2  Mitra" w:hint="cs"/>
          <w:sz w:val="28"/>
          <w:szCs w:val="28"/>
          <w:rtl/>
        </w:rPr>
        <w:t>پاسخ به مدعای ايشان را به جلسه آينده واگذار می</w:t>
      </w:r>
      <w:r>
        <w:rPr>
          <w:rFonts w:cs="2  Mitra" w:hint="cs"/>
          <w:sz w:val="28"/>
          <w:szCs w:val="28"/>
          <w:rtl/>
        </w:rPr>
        <w:softHyphen/>
        <w:t>کنيم.</w:t>
      </w:r>
    </w:p>
    <w:p w14:paraId="375EB0F9" w14:textId="77777777" w:rsidR="009E2A08" w:rsidRDefault="009E2A08" w:rsidP="009E2A08">
      <w:pPr>
        <w:rPr>
          <w:rFonts w:cs="2  Mitra" w:hint="cs"/>
          <w:sz w:val="28"/>
          <w:szCs w:val="28"/>
          <w:rtl/>
        </w:rPr>
      </w:pPr>
      <w:r>
        <w:rPr>
          <w:rFonts w:cs="2  Mitra" w:hint="cs"/>
          <w:sz w:val="28"/>
          <w:szCs w:val="28"/>
          <w:rtl/>
        </w:rPr>
        <w:br w:type="page"/>
      </w:r>
    </w:p>
    <w:p w14:paraId="46B8011F" w14:textId="77777777" w:rsidR="009E2A08" w:rsidRDefault="009E2A08" w:rsidP="009E2A08">
      <w:pPr>
        <w:widowControl w:val="0"/>
        <w:bidi/>
        <w:spacing w:after="0"/>
        <w:ind w:firstLine="284"/>
        <w:jc w:val="both"/>
        <w:rPr>
          <w:rFonts w:cs="Abz-2 (Badr)" w:hint="cs"/>
          <w:sz w:val="28"/>
          <w:szCs w:val="28"/>
          <w:rtl/>
        </w:rPr>
      </w:pPr>
      <w:r>
        <w:rPr>
          <w:rFonts w:cs="Abz-2 (Badr)" w:hint="cs"/>
          <w:sz w:val="28"/>
          <w:szCs w:val="28"/>
          <w:rtl/>
        </w:rPr>
        <w:lastRenderedPageBreak/>
        <w:t>ذكرنا في الجلسة السابقة نقد ما أفاده صاحب الفصول.</w:t>
      </w:r>
    </w:p>
    <w:p w14:paraId="1C0FD2BD" w14:textId="77777777" w:rsidR="009E2A08" w:rsidRDefault="009E2A08" w:rsidP="009E2A08">
      <w:pPr>
        <w:widowControl w:val="0"/>
        <w:bidi/>
        <w:spacing w:after="0"/>
        <w:ind w:firstLine="284"/>
        <w:jc w:val="both"/>
        <w:rPr>
          <w:rFonts w:cs="Abz-2 (Badr)" w:hint="cs"/>
          <w:sz w:val="28"/>
          <w:szCs w:val="28"/>
          <w:rtl/>
        </w:rPr>
      </w:pPr>
      <w:bookmarkStart w:id="1" w:name="_Hlk212542453"/>
      <w:r>
        <w:rPr>
          <w:rFonts w:cs="Abz-2 (Badr)" w:hint="cs"/>
          <w:sz w:val="28"/>
          <w:szCs w:val="28"/>
          <w:rtl/>
        </w:rPr>
        <w:t>وأمّا في ما يتعلّق بمدلول «اللام» وكون «الألف واللام» موضوعة لتعرّف المدخول، فنقول: إن أُريد من ذلك أنّ «الألف واللام» وضعت بإزاء معنى اسمي للتعريف، فبطلانه واضحز وإن أُريد أنّها وضعت بإزاء معنى حرفي للتعريف، بمعنى أنّ دخول «الألف واللام» على المدخول يكسبه هيئةً تدلّ على «النسبة التعريفيّة»، فالإشكال عليه أنّه وإن كان وضع الهيئة بإزاء معنى حرفي في نفسه أمراً صحيحاً، إلّا أنّ «النسبة التعريفيّة» ليست لها معنىً محصّلاً، بل الهيئة المذكورة دالّة على نسبة بين مدخول «الألف واللام» وأمر آخر، ويكون منشأ إفادة التعريف هو هذه النسبة المقتضية لرفع الإبهام عن المدخول أو تقليله، فيستفاد منها تعرّفه.</w:t>
      </w:r>
    </w:p>
    <w:p w14:paraId="26145349" w14:textId="77777777" w:rsidR="009E2A08" w:rsidRDefault="009E2A08" w:rsidP="009E2A08">
      <w:pPr>
        <w:widowControl w:val="0"/>
        <w:bidi/>
        <w:spacing w:after="0"/>
        <w:ind w:firstLine="284"/>
        <w:jc w:val="both"/>
        <w:rPr>
          <w:rFonts w:cs="Abz-2 (Badr)" w:hint="cs"/>
          <w:sz w:val="28"/>
          <w:szCs w:val="28"/>
          <w:rtl/>
        </w:rPr>
      </w:pPr>
      <w:r>
        <w:rPr>
          <w:rFonts w:cs="Abz-2 (Badr)" w:hint="cs"/>
          <w:sz w:val="28"/>
          <w:szCs w:val="28"/>
          <w:rtl/>
        </w:rPr>
        <w:t>وأمّا الطرف الذي تتعلّق به تلك النسبة فليس واحداً في جميع الموارد، بل يختلف باختلاف أنواع «اللام»؛ ففي «لام العهد» يكون جزئيّاً معيّناً، وفي «لام بيان الحقيقة» يكون خصوصيّات الطبيعة بما هي هي، وفي «لام الاستغراق» يكون الخصوصيّات المشتركة بين جميع الأفراد.</w:t>
      </w:r>
    </w:p>
    <w:p w14:paraId="74CBDAF4" w14:textId="77777777" w:rsidR="009E2A08" w:rsidRDefault="009E2A08" w:rsidP="009E2A08">
      <w:pPr>
        <w:widowControl w:val="0"/>
        <w:bidi/>
        <w:spacing w:after="0"/>
        <w:ind w:firstLine="284"/>
        <w:jc w:val="both"/>
        <w:rPr>
          <w:rFonts w:cs="Abz-2 (Badr)" w:hint="cs"/>
          <w:sz w:val="28"/>
          <w:szCs w:val="28"/>
          <w:rtl/>
        </w:rPr>
      </w:pPr>
      <w:r>
        <w:rPr>
          <w:rFonts w:cs="Abz-2 (Badr)" w:hint="cs"/>
          <w:sz w:val="28"/>
          <w:szCs w:val="28"/>
          <w:rtl/>
        </w:rPr>
        <w:t>فمع هذا الاختلاف في طرف النسبة، لا يمكن جعل تلك النسبة ـ وهي مدلول الهيئة ـ معنىً واحداً في الجميع، بل لابدّ إمّا من الالتزام بكون الوضع فيها مشتركاً لفظيّاً، أو مشتركاً معنويّاً بلحاظ قدر جامع بين هذه النسب، كما هو ظاهر.</w:t>
      </w:r>
    </w:p>
    <w:p w14:paraId="4B9BAEC3" w14:textId="77777777" w:rsidR="009E2A08" w:rsidRDefault="009E2A08" w:rsidP="009E2A08">
      <w:pPr>
        <w:widowControl w:val="0"/>
        <w:bidi/>
        <w:spacing w:after="0"/>
        <w:ind w:firstLine="284"/>
        <w:jc w:val="both"/>
        <w:rPr>
          <w:rFonts w:cs="Abz-2 (Badr)" w:hint="cs"/>
          <w:sz w:val="28"/>
          <w:szCs w:val="28"/>
          <w:rtl/>
        </w:rPr>
      </w:pPr>
      <w:r>
        <w:rPr>
          <w:rFonts w:cs="Abz-2 (Badr)" w:hint="cs"/>
          <w:sz w:val="28"/>
          <w:szCs w:val="28"/>
          <w:rtl/>
        </w:rPr>
        <w:t>وقد التزم المحقّق الإصفهاني بهذا المعنى أيضاً وصرّح بأنّ «اللام» آلة تعريف وتعيين؛ بمعنى أنّها موضوعة للدلالة على كون مدخولها واقعاً في مقام التعيّن، سواء أكان ذلك التعيّن بنحو الجنس، أم بنحو الاستغراق، أم بنحو العهد بأقسامه. فهي ـ بهذا اللحاظ ـ كغيرها من الحروف الموضوعة لربط مخصوص، كـ «حرف الابتداء» الموضوعة لربط ما بعدها بما قبلها على نحو يكون «المبتدأ به» مرتبطاً بـ «المبتدأ من عنده».</w:t>
      </w:r>
    </w:p>
    <w:p w14:paraId="2E8C4CE0" w14:textId="77777777" w:rsidR="009E2A08" w:rsidRDefault="009E2A08" w:rsidP="009E2A08">
      <w:pPr>
        <w:widowControl w:val="0"/>
        <w:bidi/>
        <w:spacing w:after="0"/>
        <w:ind w:firstLine="284"/>
        <w:jc w:val="both"/>
        <w:rPr>
          <w:rFonts w:cs="Abz-2 (Badr)"/>
          <w:sz w:val="28"/>
          <w:szCs w:val="28"/>
        </w:rPr>
      </w:pPr>
      <w:r>
        <w:rPr>
          <w:rFonts w:cs="Abz-2 (Badr)" w:hint="cs"/>
          <w:sz w:val="28"/>
          <w:szCs w:val="28"/>
          <w:rtl/>
        </w:rPr>
        <w:t>وعليه فالمقصود من «الإشارة» إلى المدخول ليس مجرّد لحاظه الذهني بما هو ملحوظ، بل وضعه في حيّز التعيّن على أحد الوجوه المتقدّمة.</w:t>
      </w:r>
      <w:r>
        <w:rPr>
          <w:rStyle w:val="FootnoteReference"/>
          <w:rFonts w:cs="Abz-2 (Badr)"/>
          <w:sz w:val="28"/>
          <w:szCs w:val="28"/>
          <w:rtl/>
        </w:rPr>
        <w:footnoteReference w:id="4"/>
      </w:r>
    </w:p>
    <w:p w14:paraId="576E05A4" w14:textId="77777777" w:rsidR="009E2A08" w:rsidRDefault="009E2A08" w:rsidP="009E2A08">
      <w:pPr>
        <w:widowControl w:val="0"/>
        <w:bidi/>
        <w:spacing w:after="0"/>
        <w:ind w:firstLine="284"/>
        <w:jc w:val="both"/>
        <w:rPr>
          <w:rFonts w:cs="Abz-2 (Badr)"/>
          <w:sz w:val="28"/>
          <w:szCs w:val="28"/>
        </w:rPr>
      </w:pPr>
      <w:r>
        <w:rPr>
          <w:rFonts w:cs="Abz-2 (Badr)" w:hint="cs"/>
          <w:sz w:val="28"/>
          <w:szCs w:val="28"/>
          <w:rtl/>
        </w:rPr>
        <w:t>وبالنظر إلی ما تقدّم، يتّضح وجه الإشكال على ما أفاده الآخوند، فإنّه قال في مقام بيان الموضوع له للّام: إنّ المعروف كون «اللام» موضوعة للتعريف وأنّها في غير موارد العهد الذهني تفيد التعيّن.</w:t>
      </w:r>
    </w:p>
    <w:p w14:paraId="32DB3D5F" w14:textId="77777777" w:rsidR="009E2A08" w:rsidRDefault="009E2A08" w:rsidP="009E2A08">
      <w:pPr>
        <w:widowControl w:val="0"/>
        <w:bidi/>
        <w:spacing w:after="0"/>
        <w:ind w:firstLine="284"/>
        <w:jc w:val="both"/>
        <w:rPr>
          <w:rFonts w:cs="Abz-2 (Badr)"/>
          <w:sz w:val="28"/>
          <w:szCs w:val="28"/>
        </w:rPr>
      </w:pPr>
      <w:r>
        <w:rPr>
          <w:rFonts w:cs="Abz-2 (Badr)" w:hint="cs"/>
          <w:sz w:val="28"/>
          <w:szCs w:val="28"/>
          <w:rtl/>
        </w:rPr>
        <w:lastRenderedPageBreak/>
        <w:t>غير أنّ من الواضح أنّ التعيّن في تعريف الجنس لا يكون إلّا بمجرّد «الإشارة» إلى معنىً متمايز في الذهن بالذات، من دون أن يكون له تحقّق خارجي بعنوانه، ويستلزم ذلك عدم صحّة حمل «المعرّف باللام» بما هو معرّف بها على الأفراد؛ لأنّ الاتّحاد مع ما لا موطن له سوى الذهن ممتنع إلّا على بعد التجريد، ومع فرضه لا يبقى للقيد أثر أصلاً. هذا فضلاً عن أنّ الالتزام بالتأويل والتصرّف في القضايا العرفيّة الشائعة لا يخلو عن تكلّف.</w:t>
      </w:r>
    </w:p>
    <w:p w14:paraId="1FCE225B" w14:textId="77777777" w:rsidR="009E2A08" w:rsidRDefault="009E2A08" w:rsidP="009E2A08">
      <w:pPr>
        <w:widowControl w:val="0"/>
        <w:bidi/>
        <w:spacing w:after="0"/>
        <w:ind w:firstLine="284"/>
        <w:jc w:val="both"/>
        <w:rPr>
          <w:rFonts w:cs="Abz-2 (Badr)"/>
          <w:sz w:val="28"/>
          <w:szCs w:val="28"/>
        </w:rPr>
      </w:pPr>
      <w:r>
        <w:rPr>
          <w:rFonts w:cs="Abz-2 (Badr)" w:hint="cs"/>
          <w:sz w:val="28"/>
          <w:szCs w:val="28"/>
          <w:rtl/>
        </w:rPr>
        <w:t>مضافاً إلى أنّ وضع علامة لمعنىً لا يحتاج إليها في الاستعمالات المتداولة بل لابدّ من طرحها عند حمل «المعرّف باللام» على شيء أو حمل شيء عليه، يعدّ لغواً لا يليق أن ينسب إلى الوضع الصحيح.</w:t>
      </w:r>
    </w:p>
    <w:p w14:paraId="4208C36B" w14:textId="77777777" w:rsidR="009E2A08" w:rsidRDefault="009E2A08" w:rsidP="009E2A08">
      <w:pPr>
        <w:widowControl w:val="0"/>
        <w:bidi/>
        <w:spacing w:after="0"/>
        <w:ind w:firstLine="284"/>
        <w:jc w:val="both"/>
        <w:rPr>
          <w:rFonts w:cs="Abz-2 (Badr)" w:hint="cs"/>
          <w:sz w:val="28"/>
          <w:szCs w:val="28"/>
          <w:rtl/>
        </w:rPr>
      </w:pPr>
      <w:r>
        <w:rPr>
          <w:rFonts w:cs="Abz-2 (Badr)" w:hint="cs"/>
          <w:sz w:val="28"/>
          <w:szCs w:val="28"/>
          <w:rtl/>
        </w:rPr>
        <w:t>فالأظهر أنّ «اللام» إنّما يكون للتزيين ـ نظير ما في الأعلام الشخصيّة من قبيل: «الحسن» و«الحسين» ـ وأمّا الخصوصيّات فمستفادة من القرائن التي لابدّ منها على كلّ حال لتعيين المراد، حتّى على فرض التسليم بأنّ «اللام» موضوعة لـ «الإشارة إلى المعنى». ولا يخفى أنّه مع قيام القرائن على تحديد الخصوصيّات المطلوبة، تكون الإشارة الحاصلة من «اللام» لغواً إن لم نقل إنّها قد تفضي إلى الإخلال أيضاً.</w:t>
      </w:r>
      <w:r>
        <w:rPr>
          <w:rStyle w:val="FootnoteReference"/>
          <w:rFonts w:cs="Abz-2 (Badr)"/>
          <w:sz w:val="28"/>
          <w:szCs w:val="28"/>
          <w:rtl/>
        </w:rPr>
        <w:footnoteReference w:id="5"/>
      </w:r>
    </w:p>
    <w:bookmarkEnd w:id="1"/>
    <w:p w14:paraId="653DA8D9" w14:textId="77777777" w:rsidR="009E2A08" w:rsidRDefault="009E2A08" w:rsidP="009E2A08">
      <w:pPr>
        <w:widowControl w:val="0"/>
        <w:bidi/>
        <w:spacing w:after="0"/>
        <w:ind w:firstLine="284"/>
        <w:jc w:val="both"/>
        <w:rPr>
          <w:rFonts w:cs="2  Mitra" w:hint="cs"/>
          <w:sz w:val="28"/>
          <w:szCs w:val="28"/>
          <w:rtl/>
        </w:rPr>
      </w:pPr>
      <w:r>
        <w:rPr>
          <w:rFonts w:cs="Abz-2 (Badr)" w:hint="cs"/>
          <w:sz w:val="28"/>
          <w:szCs w:val="28"/>
          <w:rtl/>
        </w:rPr>
        <w:t>ونوکل الجواب عن هذه الدعوی إلی الجلسة القادمة إن شاء الله.</w:t>
      </w:r>
    </w:p>
    <w:p w14:paraId="7D9979DE" w14:textId="26D41A3F" w:rsidR="001B24FC" w:rsidRPr="009E2A08" w:rsidRDefault="001B24FC" w:rsidP="009E2A08">
      <w:pPr>
        <w:rPr>
          <w:rtl/>
        </w:rPr>
      </w:pPr>
    </w:p>
    <w:sectPr w:rsidR="001B24FC" w:rsidRPr="009E2A08" w:rsidSect="008666ED">
      <w:headerReference w:type="default" r:id="rId7"/>
      <w:footerReference w:type="default" r:id="rId8"/>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9312C" w14:textId="77777777" w:rsidR="00AB23C4" w:rsidRDefault="00AB23C4" w:rsidP="00C336C5">
      <w:pPr>
        <w:spacing w:after="0" w:line="240" w:lineRule="auto"/>
      </w:pPr>
      <w:r>
        <w:separator/>
      </w:r>
    </w:p>
  </w:endnote>
  <w:endnote w:type="continuationSeparator" w:id="0">
    <w:p w14:paraId="6BE19E27" w14:textId="77777777" w:rsidR="00AB23C4" w:rsidRDefault="00AB23C4" w:rsidP="00C336C5">
      <w:pPr>
        <w:spacing w:after="0" w:line="240" w:lineRule="auto"/>
      </w:pPr>
      <w:r>
        <w:continuationSeparator/>
      </w:r>
    </w:p>
  </w:endnote>
  <w:endnote w:type="continuationNotice" w:id="1">
    <w:p w14:paraId="653BCF58" w14:textId="77777777" w:rsidR="00AB23C4" w:rsidRDefault="00AB23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6919D" w14:textId="77777777" w:rsidR="00AB23C4" w:rsidRDefault="00AB23C4" w:rsidP="00C336C5">
      <w:pPr>
        <w:bidi/>
        <w:spacing w:after="0" w:line="240" w:lineRule="auto"/>
      </w:pPr>
      <w:r>
        <w:separator/>
      </w:r>
    </w:p>
  </w:footnote>
  <w:footnote w:type="continuationSeparator" w:id="0">
    <w:p w14:paraId="65645627" w14:textId="77777777" w:rsidR="00AB23C4" w:rsidRDefault="00AB23C4" w:rsidP="00C336C5">
      <w:pPr>
        <w:spacing w:after="0" w:line="240" w:lineRule="auto"/>
      </w:pPr>
      <w:r>
        <w:continuationSeparator/>
      </w:r>
    </w:p>
  </w:footnote>
  <w:footnote w:type="continuationNotice" w:id="1">
    <w:p w14:paraId="13802C42" w14:textId="77777777" w:rsidR="00AB23C4" w:rsidRDefault="00AB23C4">
      <w:pPr>
        <w:spacing w:after="0" w:line="240" w:lineRule="auto"/>
      </w:pPr>
    </w:p>
  </w:footnote>
  <w:footnote w:id="2">
    <w:p w14:paraId="098389E4" w14:textId="77777777" w:rsidR="009E2A08" w:rsidRDefault="009E2A08" w:rsidP="009E2A08">
      <w:pPr>
        <w:pStyle w:val="FootnoteText"/>
        <w:bidi/>
        <w:jc w:val="left"/>
        <w:rPr>
          <w:rFonts w:cs="Abz-2 (Badr)" w:hint="cs"/>
          <w:rtl/>
          <w:lang w:bidi="fa-IR"/>
        </w:rPr>
      </w:pPr>
      <w:r>
        <w:rPr>
          <w:rFonts w:cs="Abz-2 (Badr)"/>
          <w:lang w:bidi="fa-IR"/>
        </w:rPr>
        <w:footnoteRef/>
      </w:r>
      <w:r>
        <w:rPr>
          <w:rFonts w:cs="Abz-2 (Badr)" w:hint="cs"/>
          <w:rtl/>
          <w:lang w:bidi="fa-IR"/>
        </w:rPr>
        <w:t xml:space="preserve"> ـ راجع: نهاية الدراية،ج2،ص495.</w:t>
      </w:r>
    </w:p>
  </w:footnote>
  <w:footnote w:id="3">
    <w:p w14:paraId="164DA960" w14:textId="77777777" w:rsidR="009E2A08" w:rsidRDefault="009E2A08" w:rsidP="009E2A08">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کفاية الأُصول،ص245.</w:t>
      </w:r>
    </w:p>
  </w:footnote>
  <w:footnote w:id="4">
    <w:p w14:paraId="3C678E88" w14:textId="77777777" w:rsidR="009E2A08" w:rsidRDefault="009E2A08" w:rsidP="009E2A08">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نهاية الدراية،ج2،ص495.</w:t>
      </w:r>
    </w:p>
  </w:footnote>
  <w:footnote w:id="5">
    <w:p w14:paraId="6BD3DC42" w14:textId="77777777" w:rsidR="009E2A08" w:rsidRDefault="009E2A08" w:rsidP="009E2A08">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کفاية الأُصول،ص245.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30D6D1A0"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9E2A08">
                            <w:rPr>
                              <w:rFonts w:cs="B Mehr" w:hint="cs"/>
                              <w:rtl/>
                              <w:lang w:bidi="fa-IR"/>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9E2A08">
                            <w:rPr>
                              <w:rFonts w:cs="B Mehr" w:hint="cs"/>
                              <w:rtl/>
                              <w:lang w:bidi="fa-IR"/>
                            </w:rPr>
                            <w:t>6</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30D6D1A0"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9E2A08">
                      <w:rPr>
                        <w:rFonts w:cs="B Mehr" w:hint="cs"/>
                        <w:rtl/>
                        <w:lang w:bidi="fa-IR"/>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9E2A08">
                      <w:rPr>
                        <w:rFonts w:cs="B Mehr" w:hint="cs"/>
                        <w:rtl/>
                        <w:lang w:bidi="fa-IR"/>
                      </w:rPr>
                      <w:t>6</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4103</TotalTime>
  <Pages>1</Pages>
  <Words>872</Words>
  <Characters>4971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1232</cp:revision>
  <cp:lastPrinted>2025-04-15T09:36:00Z</cp:lastPrinted>
  <dcterms:created xsi:type="dcterms:W3CDTF">2022-10-16T08:36:00Z</dcterms:created>
  <dcterms:modified xsi:type="dcterms:W3CDTF">2025-10-28T07:59:00Z</dcterms:modified>
</cp:coreProperties>
</file>