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F289D" w14:textId="77777777" w:rsidR="007915AC" w:rsidRDefault="007915AC" w:rsidP="007915AC">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0A55E881" w14:textId="77777777" w:rsidR="007915AC" w:rsidRDefault="007915AC" w:rsidP="007915AC">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1CC54BB2" w14:textId="77777777" w:rsidR="007915AC" w:rsidRDefault="007915AC" w:rsidP="007915AC">
      <w:pPr>
        <w:widowControl w:val="0"/>
        <w:bidi/>
        <w:spacing w:after="240"/>
        <w:jc w:val="center"/>
        <w:rPr>
          <w:rFonts w:cs="B Mitra" w:hint="cs"/>
          <w:b/>
          <w:bCs/>
          <w:sz w:val="32"/>
          <w:szCs w:val="32"/>
          <w:rtl/>
          <w:lang w:bidi="fa-IR"/>
        </w:rPr>
      </w:pPr>
      <w:r>
        <w:rPr>
          <w:rFonts w:cs="B Mitra" w:hint="cs"/>
          <w:b/>
          <w:bCs/>
          <w:sz w:val="32"/>
          <w:szCs w:val="32"/>
          <w:rtl/>
          <w:lang w:bidi="fa-IR"/>
        </w:rPr>
        <w:t>جلسه 960</w:t>
      </w:r>
    </w:p>
    <w:bookmarkEnd w:id="0"/>
    <w:p w14:paraId="57F5B34B" w14:textId="77777777" w:rsidR="007915AC" w:rsidRDefault="007915AC" w:rsidP="007915AC">
      <w:pPr>
        <w:widowControl w:val="0"/>
        <w:bidi/>
        <w:spacing w:before="240"/>
        <w:ind w:firstLine="289"/>
        <w:jc w:val="both"/>
        <w:rPr>
          <w:rFonts w:cs="2  Mitra" w:hint="cs"/>
          <w:sz w:val="28"/>
          <w:szCs w:val="28"/>
          <w:rtl/>
        </w:rPr>
      </w:pPr>
      <w:r>
        <w:rPr>
          <w:rFonts w:cs="2  Mitra" w:hint="cs"/>
          <w:sz w:val="28"/>
          <w:szCs w:val="28"/>
          <w:rtl/>
        </w:rPr>
        <w:t>گفتيم که مفرد محلی به لام چنانچه لام آن برای استغراق باشد، افاده عموم می</w:t>
      </w:r>
      <w:r>
        <w:rPr>
          <w:rFonts w:cs="2  Mitra" w:hint="cs"/>
          <w:sz w:val="28"/>
          <w:szCs w:val="28"/>
          <w:rtl/>
        </w:rPr>
        <w:softHyphen/>
        <w:t>کند.</w:t>
      </w:r>
    </w:p>
    <w:p w14:paraId="07EC36F7" w14:textId="77777777" w:rsidR="007915AC" w:rsidRDefault="007915AC" w:rsidP="007915AC">
      <w:pPr>
        <w:widowControl w:val="0"/>
        <w:bidi/>
        <w:spacing w:before="240"/>
        <w:ind w:firstLine="289"/>
        <w:jc w:val="both"/>
        <w:rPr>
          <w:rFonts w:cs="2  Mitra" w:hint="cs"/>
          <w:sz w:val="28"/>
          <w:szCs w:val="28"/>
          <w:rtl/>
          <w:lang w:bidi="fa-IR"/>
        </w:rPr>
      </w:pPr>
      <w:r>
        <w:rPr>
          <w:rFonts w:cs="2  Mitra" w:hint="cs"/>
          <w:sz w:val="28"/>
          <w:szCs w:val="28"/>
          <w:rtl/>
          <w:lang w:bidi="fa-IR"/>
        </w:rPr>
        <w:t>اما با فقدان قرينه نيز آيا می</w:t>
      </w:r>
      <w:r>
        <w:rPr>
          <w:rFonts w:cs="2  Mitra" w:hint="cs"/>
          <w:sz w:val="28"/>
          <w:szCs w:val="28"/>
          <w:rtl/>
          <w:lang w:bidi="fa-IR"/>
        </w:rPr>
        <w:softHyphen/>
        <w:t>توان از مفرد محلّی به لام استفاده عموم نمود؟</w:t>
      </w:r>
    </w:p>
    <w:p w14:paraId="0C0558BB" w14:textId="77777777" w:rsidR="007915AC" w:rsidRDefault="007915AC" w:rsidP="007915AC">
      <w:pPr>
        <w:widowControl w:val="0"/>
        <w:bidi/>
        <w:spacing w:before="240"/>
        <w:ind w:firstLine="289"/>
        <w:jc w:val="both"/>
        <w:rPr>
          <w:rFonts w:cs="2  Mitra" w:hint="cs"/>
          <w:sz w:val="28"/>
          <w:szCs w:val="28"/>
          <w:rtl/>
          <w:lang w:bidi="fa-IR"/>
        </w:rPr>
      </w:pPr>
      <w:r>
        <w:rPr>
          <w:rFonts w:cs="2  Mitra" w:hint="cs"/>
          <w:sz w:val="28"/>
          <w:szCs w:val="28"/>
          <w:rtl/>
          <w:lang w:bidi="fa-IR"/>
        </w:rPr>
        <w:t>مرحوم صاحب فصول فرموده است که اين مسأله اختلافی است و قائلين به استفاده عموم از مفرد محلی به لام در چنين مواردی دو دليل برای مدعای خود آورده</w:t>
      </w:r>
      <w:r>
        <w:rPr>
          <w:rFonts w:cs="2  Mitra" w:hint="cs"/>
          <w:sz w:val="28"/>
          <w:szCs w:val="28"/>
          <w:rtl/>
          <w:lang w:bidi="fa-IR"/>
        </w:rPr>
        <w:softHyphen/>
        <w:t>اند:</w:t>
      </w:r>
    </w:p>
    <w:p w14:paraId="4429BDD9" w14:textId="77777777" w:rsidR="007915AC" w:rsidRDefault="007915AC" w:rsidP="007915AC">
      <w:pPr>
        <w:widowControl w:val="0"/>
        <w:bidi/>
        <w:spacing w:before="240" w:line="252" w:lineRule="auto"/>
        <w:ind w:firstLine="289"/>
        <w:jc w:val="both"/>
        <w:rPr>
          <w:rFonts w:cs="2  Mitra" w:hint="cs"/>
          <w:sz w:val="28"/>
          <w:szCs w:val="28"/>
          <w:rtl/>
          <w:lang w:bidi="fa-IR"/>
        </w:rPr>
      </w:pPr>
      <w:r>
        <w:rPr>
          <w:rFonts w:cs="2  Mitra" w:hint="cs"/>
          <w:sz w:val="28"/>
          <w:szCs w:val="28"/>
          <w:rtl/>
          <w:lang w:bidi="fa-IR"/>
        </w:rPr>
        <w:t>1 ـ جواز وصف مفرد محلّی به لام به صیغه</w:t>
      </w:r>
      <w:r>
        <w:rPr>
          <w:rFonts w:cs="2  Mitra" w:hint="cs"/>
          <w:sz w:val="28"/>
          <w:szCs w:val="28"/>
          <w:rtl/>
          <w:lang w:bidi="fa-IR"/>
        </w:rPr>
        <w:softHyphen/>
        <w:t>ی جمع، مانند: «</w:t>
      </w:r>
      <w:r>
        <w:rPr>
          <w:rFonts w:cs="Abz-2 (Badr)" w:hint="cs"/>
          <w:sz w:val="28"/>
          <w:szCs w:val="28"/>
          <w:rtl/>
          <w:lang w:bidi="fa-IR"/>
        </w:rPr>
        <w:t>أهلك الناس الدرهم البيض والدينار الصفر</w:t>
      </w:r>
      <w:r>
        <w:rPr>
          <w:rFonts w:cs="2  Mitra" w:hint="cs"/>
          <w:sz w:val="28"/>
          <w:szCs w:val="28"/>
          <w:rtl/>
          <w:lang w:bidi="fa-IR"/>
        </w:rPr>
        <w:t>».</w:t>
      </w:r>
    </w:p>
    <w:p w14:paraId="1065055A" w14:textId="77777777" w:rsidR="007915AC" w:rsidRDefault="007915AC" w:rsidP="007915AC">
      <w:pPr>
        <w:widowControl w:val="0"/>
        <w:bidi/>
        <w:spacing w:before="240" w:line="252" w:lineRule="auto"/>
        <w:ind w:firstLine="289"/>
        <w:jc w:val="both"/>
        <w:rPr>
          <w:rFonts w:cs="2  Mitra" w:hint="cs"/>
          <w:sz w:val="28"/>
          <w:szCs w:val="28"/>
          <w:rtl/>
          <w:lang w:bidi="fa-IR"/>
        </w:rPr>
      </w:pPr>
      <w:r>
        <w:rPr>
          <w:rFonts w:cs="2  Mitra" w:hint="cs"/>
          <w:sz w:val="28"/>
          <w:szCs w:val="28"/>
          <w:rtl/>
          <w:lang w:bidi="fa-IR"/>
        </w:rPr>
        <w:t>2 ـ صحّت استثناء از مفرد معرّف، مانند آیه</w:t>
      </w:r>
      <w:r>
        <w:rPr>
          <w:rFonts w:cs="2  Mitra" w:hint="cs"/>
          <w:sz w:val="28"/>
          <w:szCs w:val="28"/>
          <w:rtl/>
          <w:lang w:bidi="fa-IR"/>
        </w:rPr>
        <w:softHyphen/>
        <w:t>ی شريفه</w:t>
      </w:r>
      <w:r>
        <w:rPr>
          <w:rFonts w:cs="2  Mitra" w:hint="cs"/>
          <w:sz w:val="28"/>
          <w:szCs w:val="28"/>
          <w:rtl/>
          <w:lang w:bidi="fa-IR"/>
        </w:rPr>
        <w:softHyphen/>
        <w:t>ی: «</w:t>
      </w:r>
      <w:r>
        <w:rPr>
          <w:rFonts w:cs="QuranTaha" w:hint="cs"/>
          <w:sz w:val="26"/>
          <w:szCs w:val="26"/>
          <w:rtl/>
          <w:lang w:bidi="fa-IR"/>
        </w:rPr>
        <w:t>إِنَّ الإِنسَانَ لَفِ</w:t>
      </w:r>
      <w:r>
        <w:rPr>
          <w:rFonts w:cs="QuranTaha" w:hint="cs"/>
          <w:sz w:val="26"/>
          <w:szCs w:val="26"/>
          <w:rtl/>
        </w:rPr>
        <w:t>ى</w:t>
      </w:r>
      <w:r>
        <w:rPr>
          <w:rFonts w:cs="QuranTaha" w:hint="cs"/>
          <w:sz w:val="26"/>
          <w:szCs w:val="26"/>
          <w:rtl/>
          <w:lang w:bidi="fa-IR"/>
        </w:rPr>
        <w:t xml:space="preserve"> خُسْرٍ إِلَّا الَّذِينَ آمَنُوا</w:t>
      </w:r>
      <w:r>
        <w:rPr>
          <w:rFonts w:cs="Times New Roman"/>
          <w:sz w:val="26"/>
          <w:szCs w:val="26"/>
          <w:rtl/>
          <w:lang w:bidi="fa-IR"/>
        </w:rPr>
        <w:t>...</w:t>
      </w:r>
      <w:r>
        <w:rPr>
          <w:rFonts w:cs="2  Mitra" w:hint="cs"/>
          <w:sz w:val="28"/>
          <w:szCs w:val="28"/>
          <w:rtl/>
          <w:lang w:bidi="fa-IR"/>
        </w:rPr>
        <w:t>»</w:t>
      </w:r>
      <w:r>
        <w:rPr>
          <w:rStyle w:val="FootnoteReference"/>
          <w:rFonts w:cs="2  Mitra"/>
          <w:sz w:val="28"/>
          <w:szCs w:val="28"/>
          <w:rtl/>
        </w:rPr>
        <w:footnoteReference w:id="2"/>
      </w:r>
      <w:r>
        <w:rPr>
          <w:rFonts w:cs="2  Mitra" w:hint="cs"/>
          <w:sz w:val="28"/>
          <w:szCs w:val="28"/>
          <w:rtl/>
          <w:lang w:bidi="fa-IR"/>
        </w:rPr>
        <w:t>.</w:t>
      </w:r>
    </w:p>
    <w:p w14:paraId="0E8B072B" w14:textId="77777777" w:rsidR="007915AC" w:rsidRDefault="007915AC" w:rsidP="007915AC">
      <w:pPr>
        <w:widowControl w:val="0"/>
        <w:bidi/>
        <w:spacing w:before="240" w:line="252" w:lineRule="auto"/>
        <w:ind w:firstLine="289"/>
        <w:jc w:val="both"/>
        <w:rPr>
          <w:rFonts w:cs="2  Mitra" w:hint="cs"/>
          <w:sz w:val="28"/>
          <w:szCs w:val="28"/>
          <w:rtl/>
        </w:rPr>
      </w:pPr>
      <w:r>
        <w:rPr>
          <w:rFonts w:cs="2  Mitra" w:hint="cs"/>
          <w:sz w:val="28"/>
          <w:szCs w:val="28"/>
          <w:rtl/>
        </w:rPr>
        <w:t>اما در ادامه با اشکال بر هر دو دليل می</w:t>
      </w:r>
      <w:r>
        <w:rPr>
          <w:rFonts w:cs="2  Mitra" w:hint="cs"/>
          <w:sz w:val="28"/>
          <w:szCs w:val="28"/>
          <w:rtl/>
        </w:rPr>
        <w:softHyphen/>
        <w:t>فرمايد: دليل اول به سبب نادر بودن استعمال، اختصاص به موارد معدود، نیاز به قرینه، و معارض بودن با استعمال رایج مفرد معرّف در معنای جنس، ضعیف شمرده شده است.</w:t>
      </w:r>
    </w:p>
    <w:p w14:paraId="069EBC50" w14:textId="77777777" w:rsidR="007915AC" w:rsidRDefault="007915AC" w:rsidP="007915AC">
      <w:pPr>
        <w:widowControl w:val="0"/>
        <w:bidi/>
        <w:spacing w:before="240" w:line="252" w:lineRule="auto"/>
        <w:ind w:firstLine="289"/>
        <w:jc w:val="both"/>
        <w:rPr>
          <w:rFonts w:cs="2  Mitra" w:hint="cs"/>
          <w:sz w:val="28"/>
          <w:szCs w:val="28"/>
          <w:rtl/>
        </w:rPr>
      </w:pPr>
      <w:r>
        <w:rPr>
          <w:rFonts w:cs="2  Mitra" w:hint="cs"/>
          <w:sz w:val="28"/>
          <w:szCs w:val="28"/>
          <w:rtl/>
        </w:rPr>
        <w:t>علاوه بر اين که مدلول عام، «هر فرد» است، اما مدلول جمع، «مجموع افراد» می‌باشد و بدین جهت یکی قابل توصیف به دیگری نیست. این مطلب با قول به این که عموم جمع غالباً افرادی است، منافات ندارد؛ چون افرادی بودن عموم، ناظر به نحوه</w:t>
      </w:r>
      <w:r>
        <w:rPr>
          <w:rFonts w:cs="2  Mitra" w:hint="cs"/>
          <w:sz w:val="28"/>
          <w:szCs w:val="28"/>
          <w:rtl/>
        </w:rPr>
        <w:softHyphen/>
        <w:t>ی تعلّق حکم به آن است نه به ذات مدلول.</w:t>
      </w:r>
    </w:p>
    <w:p w14:paraId="12AB0BAD" w14:textId="77777777" w:rsidR="007915AC" w:rsidRDefault="007915AC" w:rsidP="007915AC">
      <w:pPr>
        <w:widowControl w:val="0"/>
        <w:bidi/>
        <w:spacing w:before="240" w:line="252" w:lineRule="auto"/>
        <w:ind w:firstLine="289"/>
        <w:jc w:val="both"/>
        <w:rPr>
          <w:rFonts w:cs="2  Mitra" w:hint="cs"/>
          <w:sz w:val="28"/>
          <w:szCs w:val="28"/>
          <w:rtl/>
        </w:rPr>
      </w:pPr>
      <w:r>
        <w:rPr>
          <w:rFonts w:cs="2  Mitra" w:hint="cs"/>
          <w:sz w:val="28"/>
          <w:szCs w:val="28"/>
          <w:rtl/>
        </w:rPr>
        <w:t>ارتباط اين مطلب با اشکال بر استدلال نيز یا به منع صغرای آن ـ یعنی جواز وصف به صیغه</w:t>
      </w:r>
      <w:r>
        <w:rPr>
          <w:rFonts w:cs="2  Mitra" w:hint="cs"/>
          <w:sz w:val="28"/>
          <w:szCs w:val="28"/>
          <w:rtl/>
        </w:rPr>
        <w:softHyphen/>
        <w:t>ی جمع ـ برمی‌گردد که مستلزم منع از صحت یا شمول مثال‌های مذکور است، یا به منع کبرای آن بازمی‌گردد که در این صورت، موصوف به صیغه</w:t>
      </w:r>
      <w:r>
        <w:rPr>
          <w:rFonts w:cs="2  Mitra" w:hint="cs"/>
          <w:sz w:val="28"/>
          <w:szCs w:val="28"/>
          <w:rtl/>
        </w:rPr>
        <w:softHyphen/>
        <w:t>ی جمع، عام افرادی نبوده بلکه عام مجموعی است که خارج از محل نزاع است.</w:t>
      </w:r>
    </w:p>
    <w:p w14:paraId="46EBB1AE" w14:textId="77777777" w:rsidR="007915AC" w:rsidRDefault="007915AC" w:rsidP="007915AC">
      <w:pPr>
        <w:widowControl w:val="0"/>
        <w:bidi/>
        <w:spacing w:before="240" w:line="252" w:lineRule="auto"/>
        <w:ind w:firstLine="289"/>
        <w:jc w:val="both"/>
        <w:rPr>
          <w:rFonts w:cs="2  Mitra" w:hint="cs"/>
          <w:spacing w:val="-4"/>
          <w:sz w:val="28"/>
          <w:szCs w:val="28"/>
          <w:rtl/>
        </w:rPr>
      </w:pPr>
      <w:r>
        <w:rPr>
          <w:rFonts w:cs="2  Mitra" w:hint="cs"/>
          <w:spacing w:val="-4"/>
          <w:sz w:val="28"/>
          <w:szCs w:val="28"/>
          <w:rtl/>
        </w:rPr>
        <w:lastRenderedPageBreak/>
        <w:t>اما در مقام اشکال بر استدلال دوم، ايشان فرموده</w:t>
      </w:r>
      <w:r>
        <w:rPr>
          <w:rFonts w:cs="2  Mitra" w:hint="cs"/>
          <w:spacing w:val="-4"/>
          <w:sz w:val="28"/>
          <w:szCs w:val="28"/>
          <w:rtl/>
        </w:rPr>
        <w:softHyphen/>
        <w:t>اند: مفاد «لام» در مفرد و جمع، صرفاً اشاره به مدلول مدخول با تعیّن لاحق است؛ در مفرد، اشاره به حقیقت با تعیّن جنسی یا شخصی، و در جمع، اشاره به افراد متعیّن ـ ولو به واسطه</w:t>
      </w:r>
      <w:r>
        <w:rPr>
          <w:rFonts w:cs="2  Mitra" w:hint="cs"/>
          <w:spacing w:val="-4"/>
          <w:sz w:val="28"/>
          <w:szCs w:val="28"/>
          <w:rtl/>
        </w:rPr>
        <w:softHyphen/>
        <w:t>ی عهد ـ می‌باشد.</w:t>
      </w:r>
    </w:p>
    <w:p w14:paraId="5B0C4523" w14:textId="77777777" w:rsidR="007915AC" w:rsidRDefault="007915AC" w:rsidP="007915AC">
      <w:pPr>
        <w:widowControl w:val="0"/>
        <w:bidi/>
        <w:spacing w:before="240" w:line="252" w:lineRule="auto"/>
        <w:ind w:firstLine="289"/>
        <w:jc w:val="both"/>
        <w:rPr>
          <w:rFonts w:cs="2  Mitra" w:hint="cs"/>
          <w:sz w:val="28"/>
          <w:szCs w:val="28"/>
          <w:rtl/>
        </w:rPr>
      </w:pPr>
      <w:r>
        <w:rPr>
          <w:rFonts w:cs="2  Mitra" w:hint="cs"/>
          <w:sz w:val="28"/>
          <w:szCs w:val="28"/>
          <w:rtl/>
        </w:rPr>
        <w:t>پس «لام» در هيچ موردی به معنای استغراق استعمال نمی</w:t>
      </w:r>
      <w:r>
        <w:rPr>
          <w:rFonts w:cs="2  Mitra" w:hint="cs"/>
          <w:sz w:val="28"/>
          <w:szCs w:val="28"/>
          <w:rtl/>
        </w:rPr>
        <w:softHyphen/>
        <w:t>شود، هرچند در جمع، می‌تواند موجب اختصاص معنا برای استغراق همه</w:t>
      </w:r>
      <w:r>
        <w:rPr>
          <w:rFonts w:cs="2  Mitra" w:hint="cs"/>
          <w:sz w:val="28"/>
          <w:szCs w:val="28"/>
          <w:rtl/>
        </w:rPr>
        <w:softHyphen/>
        <w:t>ی افراد شود، مشروط به نبود قرینه</w:t>
      </w:r>
      <w:r>
        <w:rPr>
          <w:rFonts w:cs="2  Mitra" w:hint="cs"/>
          <w:sz w:val="28"/>
          <w:szCs w:val="28"/>
          <w:rtl/>
        </w:rPr>
        <w:softHyphen/>
        <w:t>ی تعیین کمتر از آن.</w:t>
      </w:r>
    </w:p>
    <w:p w14:paraId="00C54342" w14:textId="77777777" w:rsidR="007915AC" w:rsidRDefault="007915AC" w:rsidP="007915AC">
      <w:pPr>
        <w:widowControl w:val="0"/>
        <w:bidi/>
        <w:spacing w:before="240" w:line="252" w:lineRule="auto"/>
        <w:ind w:firstLine="289"/>
        <w:jc w:val="both"/>
        <w:rPr>
          <w:rFonts w:cs="2  Mitra" w:hint="cs"/>
          <w:sz w:val="28"/>
          <w:szCs w:val="28"/>
          <w:rtl/>
        </w:rPr>
      </w:pPr>
      <w:r>
        <w:rPr>
          <w:rFonts w:cs="2  Mitra" w:hint="cs"/>
          <w:sz w:val="28"/>
          <w:szCs w:val="28"/>
          <w:rtl/>
        </w:rPr>
        <w:t>اما در مفرد، افاده</w:t>
      </w:r>
      <w:r>
        <w:rPr>
          <w:rFonts w:cs="2  Mitra" w:hint="cs"/>
          <w:sz w:val="28"/>
          <w:szCs w:val="28"/>
          <w:rtl/>
        </w:rPr>
        <w:softHyphen/>
        <w:t>ی عموم تنها با کمک قرینه</w:t>
      </w:r>
      <w:r>
        <w:rPr>
          <w:rFonts w:cs="2  Mitra" w:hint="cs"/>
          <w:sz w:val="28"/>
          <w:szCs w:val="28"/>
          <w:rtl/>
        </w:rPr>
        <w:softHyphen/>
        <w:t>ی خارجی ـ مثل استثناء ـ حاصل می‌شود، نه به‌واسطه</w:t>
      </w:r>
      <w:r>
        <w:rPr>
          <w:rFonts w:cs="2  Mitra" w:hint="cs"/>
          <w:sz w:val="28"/>
          <w:szCs w:val="28"/>
          <w:rtl/>
        </w:rPr>
        <w:softHyphen/>
        <w:t>ی خود «لام». همچنین همان‌گونه که با «لام» می‌توان حقیقت را از جهت شمول بر همه</w:t>
      </w:r>
      <w:r>
        <w:rPr>
          <w:rFonts w:cs="2  Mitra" w:hint="cs"/>
          <w:sz w:val="28"/>
          <w:szCs w:val="28"/>
          <w:rtl/>
        </w:rPr>
        <w:softHyphen/>
        <w:t>ی افراد لحاظ کرد، نکره نیز می‌تواند با قرینه</w:t>
      </w:r>
      <w:r>
        <w:rPr>
          <w:rFonts w:cs="2  Mitra" w:hint="cs"/>
          <w:sz w:val="28"/>
          <w:szCs w:val="28"/>
          <w:rtl/>
        </w:rPr>
        <w:softHyphen/>
        <w:t>ی خارجی چنین شمولی پیدا کند؛ بنابر این در افاده</w:t>
      </w:r>
      <w:r>
        <w:rPr>
          <w:rFonts w:cs="2  Mitra" w:hint="cs"/>
          <w:sz w:val="28"/>
          <w:szCs w:val="28"/>
          <w:rtl/>
        </w:rPr>
        <w:softHyphen/>
        <w:t>ی استغراق، میان مفرد معرّف و نکره تفاوتی نیست و در هر دو، قرینه</w:t>
      </w:r>
      <w:r>
        <w:rPr>
          <w:rFonts w:cs="2  Mitra" w:hint="cs"/>
          <w:sz w:val="28"/>
          <w:szCs w:val="28"/>
          <w:rtl/>
        </w:rPr>
        <w:softHyphen/>
        <w:t>ی خارجی نقش اصلی را دارد.</w:t>
      </w:r>
      <w:r>
        <w:rPr>
          <w:rStyle w:val="FootnoteReference"/>
          <w:rFonts w:cs="2  Mitra"/>
          <w:sz w:val="28"/>
          <w:szCs w:val="28"/>
          <w:rtl/>
        </w:rPr>
        <w:footnoteReference w:id="3"/>
      </w:r>
    </w:p>
    <w:p w14:paraId="2AB1F1E7" w14:textId="77777777" w:rsidR="007915AC" w:rsidRDefault="007915AC" w:rsidP="007915AC">
      <w:pPr>
        <w:widowControl w:val="0"/>
        <w:bidi/>
        <w:spacing w:before="240" w:line="252" w:lineRule="auto"/>
        <w:ind w:firstLine="289"/>
        <w:jc w:val="both"/>
        <w:rPr>
          <w:rFonts w:cs="2  Mitra" w:hint="cs"/>
          <w:sz w:val="28"/>
          <w:szCs w:val="28"/>
          <w:rtl/>
        </w:rPr>
      </w:pPr>
      <w:r>
        <w:rPr>
          <w:rFonts w:cs="2  Mitra" w:hint="cs"/>
          <w:sz w:val="28"/>
          <w:szCs w:val="28"/>
          <w:rtl/>
        </w:rPr>
        <w:t>نقدی که به کلام ايشان در خصوص رد استدلال اول وارد است، اين است که استغراقی بودن عموم، ناظر به نحوه</w:t>
      </w:r>
      <w:r>
        <w:rPr>
          <w:rFonts w:cs="2  Mitra" w:hint="cs"/>
          <w:sz w:val="28"/>
          <w:szCs w:val="28"/>
          <w:rtl/>
        </w:rPr>
        <w:softHyphen/>
        <w:t>ی تعلّق حکم به آن نيست، بلکه مربوط به نحوه لحاظ افراد است که در آن، افراد به نحو لا بشرط نسبت به يکديگر لحاظ می</w:t>
      </w:r>
      <w:r>
        <w:rPr>
          <w:rFonts w:cs="2  Mitra" w:hint="cs"/>
          <w:sz w:val="28"/>
          <w:szCs w:val="28"/>
          <w:rtl/>
        </w:rPr>
        <w:softHyphen/>
        <w:t>شوند و وجه اين که وصف در عموم استغراقی مفرد ذکر می</w:t>
      </w:r>
      <w:r>
        <w:rPr>
          <w:rFonts w:cs="2  Mitra" w:hint="cs"/>
          <w:sz w:val="28"/>
          <w:szCs w:val="28"/>
          <w:rtl/>
        </w:rPr>
        <w:softHyphen/>
        <w:t>شود نيز اين است که لحاظ هر فرد مستقل از لحاظ افراد ديگر صورت می</w:t>
      </w:r>
      <w:r>
        <w:rPr>
          <w:rFonts w:cs="2  Mitra" w:hint="cs"/>
          <w:sz w:val="28"/>
          <w:szCs w:val="28"/>
          <w:rtl/>
        </w:rPr>
        <w:softHyphen/>
        <w:t>پذيرد.</w:t>
      </w:r>
    </w:p>
    <w:p w14:paraId="0799E3DE" w14:textId="77777777" w:rsidR="007915AC" w:rsidRDefault="007915AC" w:rsidP="007915AC">
      <w:pPr>
        <w:widowControl w:val="0"/>
        <w:bidi/>
        <w:spacing w:before="240" w:line="252" w:lineRule="auto"/>
        <w:ind w:firstLine="289"/>
        <w:jc w:val="both"/>
        <w:rPr>
          <w:rFonts w:cs="2  Mitra" w:hint="cs"/>
          <w:sz w:val="28"/>
          <w:szCs w:val="28"/>
          <w:rtl/>
        </w:rPr>
      </w:pPr>
      <w:r>
        <w:rPr>
          <w:rFonts w:cs="2  Mitra" w:hint="cs"/>
          <w:sz w:val="28"/>
          <w:szCs w:val="28"/>
          <w:rtl/>
        </w:rPr>
        <w:t>اما آنچه که ايشان در رد استدلال دوم بيان کرده</w:t>
      </w:r>
      <w:r>
        <w:rPr>
          <w:rFonts w:cs="2  Mitra" w:hint="cs"/>
          <w:sz w:val="28"/>
          <w:szCs w:val="28"/>
          <w:rtl/>
        </w:rPr>
        <w:softHyphen/>
        <w:t>اند، به معنای نفی الف و لامی به عنوان الف و لام استغراق است که در اين صورت، افاده عموم در جايی که الف و لام بر سر مفرد وارد شود، مبتنی بر قرائن بوده و در نتيجه عمومات ديگری که مستند به وضع هستند، بر آن مقدم خواهند بود.</w:t>
      </w:r>
    </w:p>
    <w:p w14:paraId="35C77C6D" w14:textId="77777777" w:rsidR="007915AC" w:rsidRDefault="007915AC" w:rsidP="007915AC">
      <w:pPr>
        <w:widowControl w:val="0"/>
        <w:bidi/>
        <w:spacing w:before="240" w:line="252" w:lineRule="auto"/>
        <w:ind w:firstLine="289"/>
        <w:jc w:val="both"/>
        <w:rPr>
          <w:rFonts w:cs="2  Mitra" w:hint="cs"/>
          <w:sz w:val="28"/>
          <w:szCs w:val="28"/>
          <w:rtl/>
        </w:rPr>
      </w:pPr>
      <w:r>
        <w:rPr>
          <w:rFonts w:cs="2  Mitra" w:hint="cs"/>
          <w:sz w:val="28"/>
          <w:szCs w:val="28"/>
          <w:rtl/>
        </w:rPr>
        <w:t>ممکن است گفته شود: مدعای ايشان مدعای بلا وجهی نيست، زيرا در مرحله دلالت تصوری وقتی مثلاً لفظ «العالم» شنيده می</w:t>
      </w:r>
      <w:r>
        <w:rPr>
          <w:rFonts w:cs="2  Mitra" w:hint="cs"/>
          <w:sz w:val="28"/>
          <w:szCs w:val="28"/>
          <w:rtl/>
        </w:rPr>
        <w:softHyphen/>
        <w:t>شود، هم احتمال اين که الف و لام برای عهد باشد در آن وجود دارد و هم احتمال اين که برای جنس باشد، و تعيين يکی از اين دو معنا متوقف بر وجود قرينه بر آن است.</w:t>
      </w:r>
    </w:p>
    <w:p w14:paraId="40FD2957" w14:textId="77777777" w:rsidR="007915AC" w:rsidRDefault="007915AC" w:rsidP="007915AC">
      <w:pPr>
        <w:widowControl w:val="0"/>
        <w:bidi/>
        <w:spacing w:before="240" w:line="252" w:lineRule="auto"/>
        <w:ind w:firstLine="289"/>
        <w:jc w:val="both"/>
        <w:rPr>
          <w:rFonts w:cs="2  Mitra" w:hint="cs"/>
          <w:sz w:val="28"/>
          <w:szCs w:val="28"/>
          <w:rtl/>
        </w:rPr>
      </w:pPr>
      <w:r>
        <w:rPr>
          <w:rFonts w:cs="2  Mitra" w:hint="cs"/>
          <w:sz w:val="28"/>
          <w:szCs w:val="28"/>
          <w:rtl/>
        </w:rPr>
        <w:t>در پاسخ باید گفت: نيازمندی تعيين يکی از معانی لام به وجود قرينه، لزوماً به معنای اين نيست که اين معانی، معنای موضوع له لام نيستند، زيرا در موارد اشتراک لفظی نيز برای تعيين يک معنا از ميان معانی متعدد، نيازمند قرينه هستيم.</w:t>
      </w:r>
    </w:p>
    <w:p w14:paraId="4B27D88E" w14:textId="77777777" w:rsidR="007915AC" w:rsidRDefault="007915AC" w:rsidP="007915AC">
      <w:pPr>
        <w:widowControl w:val="0"/>
        <w:bidi/>
        <w:spacing w:before="240" w:line="252" w:lineRule="auto"/>
        <w:ind w:firstLine="289"/>
        <w:jc w:val="both"/>
        <w:rPr>
          <w:rFonts w:cs="2  Mitra" w:hint="cs"/>
          <w:sz w:val="28"/>
          <w:szCs w:val="28"/>
          <w:rtl/>
        </w:rPr>
      </w:pPr>
      <w:r>
        <w:rPr>
          <w:rFonts w:cs="2  Mitra" w:hint="cs"/>
          <w:sz w:val="28"/>
          <w:szCs w:val="28"/>
          <w:rtl/>
        </w:rPr>
        <w:lastRenderedPageBreak/>
        <w:t>اما نقد مدعای ايشان در خصوص مدلول الف ولام را به جلسه آينده واگذار می</w:t>
      </w:r>
      <w:r>
        <w:rPr>
          <w:rFonts w:cs="2  Mitra" w:hint="cs"/>
          <w:sz w:val="28"/>
          <w:szCs w:val="28"/>
          <w:rtl/>
        </w:rPr>
        <w:softHyphen/>
        <w:t>کنيم.</w:t>
      </w:r>
    </w:p>
    <w:p w14:paraId="52AB9348" w14:textId="77777777" w:rsidR="007915AC" w:rsidRDefault="007915AC" w:rsidP="007915AC">
      <w:pPr>
        <w:rPr>
          <w:rFonts w:cs="2  Mitra" w:hint="cs"/>
          <w:sz w:val="28"/>
          <w:szCs w:val="28"/>
          <w:rtl/>
        </w:rPr>
      </w:pPr>
      <w:r>
        <w:rPr>
          <w:rFonts w:cs="2  Mitra" w:hint="cs"/>
          <w:sz w:val="28"/>
          <w:szCs w:val="28"/>
          <w:rtl/>
        </w:rPr>
        <w:br w:type="page"/>
      </w:r>
    </w:p>
    <w:p w14:paraId="1B3E06E0" w14:textId="77777777" w:rsidR="007915AC" w:rsidRDefault="007915AC" w:rsidP="007915AC">
      <w:pPr>
        <w:widowControl w:val="0"/>
        <w:bidi/>
        <w:spacing w:after="0"/>
        <w:ind w:firstLine="289"/>
        <w:jc w:val="both"/>
        <w:rPr>
          <w:rFonts w:cs="Abz-2 (Badr)" w:hint="cs"/>
          <w:sz w:val="28"/>
          <w:szCs w:val="28"/>
          <w:rtl/>
        </w:rPr>
      </w:pPr>
      <w:r>
        <w:rPr>
          <w:rFonts w:cs="Abz-2 (Badr)" w:hint="cs"/>
          <w:sz w:val="28"/>
          <w:szCs w:val="28"/>
          <w:rtl/>
        </w:rPr>
        <w:lastRenderedPageBreak/>
        <w:t>ذكرنا سابقاً أنّ الاسم المفرد المحلّى باللام يفيد العموم إذا كانت اللام موضوعة للاستغراق.</w:t>
      </w:r>
    </w:p>
    <w:p w14:paraId="359A916C" w14:textId="77777777" w:rsidR="007915AC" w:rsidRDefault="007915AC" w:rsidP="007915AC">
      <w:pPr>
        <w:widowControl w:val="0"/>
        <w:bidi/>
        <w:spacing w:after="0"/>
        <w:ind w:firstLine="289"/>
        <w:jc w:val="both"/>
        <w:rPr>
          <w:rFonts w:cs="Abz-2 (Badr)" w:hint="cs"/>
          <w:sz w:val="28"/>
          <w:szCs w:val="28"/>
          <w:rtl/>
        </w:rPr>
      </w:pPr>
      <w:r>
        <w:rPr>
          <w:rFonts w:cs="Abz-2 (Badr)" w:hint="cs"/>
          <w:sz w:val="28"/>
          <w:szCs w:val="28"/>
          <w:rtl/>
        </w:rPr>
        <w:t>ولكن هل يمكن ـ مع فقدان القرينة المعيّنة ـ استفادة العموم من المفرد المحلّى باللام بمجرّدها؟</w:t>
      </w:r>
    </w:p>
    <w:p w14:paraId="05C9B21B" w14:textId="77777777" w:rsidR="007915AC" w:rsidRDefault="007915AC" w:rsidP="007915AC">
      <w:pPr>
        <w:widowControl w:val="0"/>
        <w:bidi/>
        <w:spacing w:after="0"/>
        <w:ind w:firstLine="289"/>
        <w:jc w:val="both"/>
        <w:rPr>
          <w:rFonts w:cs="Abz-2 (Badr)"/>
          <w:sz w:val="28"/>
          <w:szCs w:val="28"/>
        </w:rPr>
      </w:pPr>
      <w:r>
        <w:rPr>
          <w:rFonts w:cs="Abz-2 (Badr)" w:hint="cs"/>
          <w:sz w:val="28"/>
          <w:szCs w:val="28"/>
          <w:rtl/>
        </w:rPr>
        <w:t>ذكر صاحب الفصول أنّ في المسألة خلافاً، وأنّ القائلين بإفادة المفرد المحلّى باللام للعموم في مثل ذلك استدلّوا بدليلين:</w:t>
      </w:r>
    </w:p>
    <w:p w14:paraId="25C26F6E" w14:textId="77777777" w:rsidR="007915AC" w:rsidRDefault="007915AC" w:rsidP="007915AC">
      <w:pPr>
        <w:widowControl w:val="0"/>
        <w:bidi/>
        <w:spacing w:after="0"/>
        <w:ind w:firstLine="289"/>
        <w:jc w:val="both"/>
        <w:rPr>
          <w:rFonts w:cs="Abz-2 (Badr)" w:hint="cs"/>
          <w:sz w:val="28"/>
          <w:szCs w:val="28"/>
          <w:rtl/>
        </w:rPr>
      </w:pPr>
      <w:r>
        <w:rPr>
          <w:rFonts w:cs="Abz-2 (Badr)" w:hint="cs"/>
          <w:sz w:val="28"/>
          <w:szCs w:val="28"/>
          <w:rtl/>
        </w:rPr>
        <w:t>الأوّل: جواز توصيف المفرد المعرف باللام بصفة الجمع، كما في قولهم: «أهلك الناسَ الدرهمُ البيضُ والدينارُ الصفرُ»،</w:t>
      </w:r>
      <w:r>
        <w:rPr>
          <w:rFonts w:cs="Abz-2 (Badr)"/>
          <w:sz w:val="28"/>
          <w:szCs w:val="28"/>
        </w:rPr>
        <w:br/>
      </w:r>
      <w:r>
        <w:rPr>
          <w:rFonts w:cs="Abz-2 (Badr)" w:hint="cs"/>
          <w:sz w:val="28"/>
          <w:szCs w:val="28"/>
          <w:rtl/>
        </w:rPr>
        <w:t>حيث وصف المفرد «الدرهم» و«الدينار» بصفة جمع، بدعوى أنّ ذلك شاهد على إرادة الاستغراق.</w:t>
      </w:r>
    </w:p>
    <w:p w14:paraId="2F399C97" w14:textId="77777777" w:rsidR="007915AC" w:rsidRDefault="007915AC" w:rsidP="007915AC">
      <w:pPr>
        <w:widowControl w:val="0"/>
        <w:bidi/>
        <w:spacing w:after="0"/>
        <w:ind w:firstLine="289"/>
        <w:jc w:val="both"/>
        <w:rPr>
          <w:rFonts w:cs="Abz-2 (Badr)"/>
          <w:sz w:val="28"/>
          <w:szCs w:val="28"/>
        </w:rPr>
      </w:pPr>
      <w:r>
        <w:rPr>
          <w:rFonts w:cs="Abz-2 (Badr)" w:hint="cs"/>
          <w:sz w:val="28"/>
          <w:szCs w:val="28"/>
          <w:rtl/>
        </w:rPr>
        <w:t>الثاني: صحّة الاستثناء من المفرد المعرف، كما في قوله تعالى: «</w:t>
      </w:r>
      <w:r>
        <w:rPr>
          <w:rFonts w:cs="QuranTaha" w:hint="cs"/>
          <w:sz w:val="26"/>
          <w:szCs w:val="26"/>
          <w:rtl/>
          <w:lang w:bidi="fa-IR"/>
        </w:rPr>
        <w:t>إِنَّ الإِنسَانَ لَفِ</w:t>
      </w:r>
      <w:r>
        <w:rPr>
          <w:rFonts w:cs="QuranTaha" w:hint="cs"/>
          <w:sz w:val="26"/>
          <w:szCs w:val="26"/>
          <w:rtl/>
        </w:rPr>
        <w:t>ى</w:t>
      </w:r>
      <w:r>
        <w:rPr>
          <w:rFonts w:cs="QuranTaha" w:hint="cs"/>
          <w:sz w:val="26"/>
          <w:szCs w:val="26"/>
          <w:rtl/>
          <w:lang w:bidi="fa-IR"/>
        </w:rPr>
        <w:t xml:space="preserve"> خُسْرٍ </w:t>
      </w:r>
      <w:r>
        <w:rPr>
          <w:rFonts w:cs="Abz-2 (Badr)" w:hint="cs"/>
          <w:sz w:val="28"/>
          <w:szCs w:val="28"/>
          <w:rtl/>
        </w:rPr>
        <w:t>*</w:t>
      </w:r>
      <w:r>
        <w:rPr>
          <w:rFonts w:cs="QuranTaha" w:hint="cs"/>
          <w:sz w:val="26"/>
          <w:szCs w:val="26"/>
          <w:rtl/>
          <w:lang w:bidi="fa-IR"/>
        </w:rPr>
        <w:t xml:space="preserve"> إِلَّا الَّذِينَ آمَنُوا</w:t>
      </w:r>
      <w:r>
        <w:rPr>
          <w:rFonts w:cs="Times New Roman"/>
          <w:sz w:val="26"/>
          <w:szCs w:val="26"/>
          <w:rtl/>
          <w:lang w:bidi="fa-IR"/>
        </w:rPr>
        <w:t>...</w:t>
      </w:r>
      <w:r>
        <w:rPr>
          <w:rFonts w:cs="QuranTaha" w:hint="cs"/>
          <w:sz w:val="26"/>
          <w:szCs w:val="26"/>
          <w:rtl/>
          <w:lang w:bidi="fa-IR"/>
        </w:rPr>
        <w:t>»</w:t>
      </w:r>
      <w:r>
        <w:rPr>
          <w:rStyle w:val="FootnoteReference"/>
          <w:rFonts w:cs="2  Mitra"/>
          <w:sz w:val="28"/>
          <w:szCs w:val="28"/>
          <w:rtl/>
        </w:rPr>
        <w:footnoteReference w:id="4"/>
      </w:r>
      <w:r>
        <w:rPr>
          <w:rFonts w:cs="Abz-2 (Badr)" w:hint="cs"/>
          <w:sz w:val="28"/>
          <w:szCs w:val="28"/>
          <w:rtl/>
        </w:rPr>
        <w:t>،</w:t>
      </w:r>
      <w:r>
        <w:rPr>
          <w:rFonts w:cs="Abz-2 (Badr)"/>
          <w:sz w:val="28"/>
          <w:szCs w:val="28"/>
        </w:rPr>
        <w:br/>
      </w:r>
      <w:r>
        <w:rPr>
          <w:rFonts w:cs="Abz-2 (Badr)" w:hint="cs"/>
          <w:sz w:val="28"/>
          <w:szCs w:val="28"/>
          <w:rtl/>
        </w:rPr>
        <w:t>فلو لم يكن مفيداً للعموم لم يصحّ الاستثناء منه.</w:t>
      </w:r>
    </w:p>
    <w:p w14:paraId="50390739" w14:textId="77777777" w:rsidR="007915AC" w:rsidRDefault="007915AC" w:rsidP="007915AC">
      <w:pPr>
        <w:widowControl w:val="0"/>
        <w:bidi/>
        <w:spacing w:after="0"/>
        <w:ind w:firstLine="289"/>
        <w:jc w:val="both"/>
        <w:rPr>
          <w:rFonts w:cs="Abz-2 (Badr)" w:hint="cs"/>
          <w:sz w:val="28"/>
          <w:szCs w:val="28"/>
          <w:rtl/>
        </w:rPr>
      </w:pPr>
      <w:r>
        <w:rPr>
          <w:rFonts w:cs="Abz-2 (Badr)" w:hint="cs"/>
          <w:sz w:val="28"/>
          <w:szCs w:val="28"/>
          <w:rtl/>
        </w:rPr>
        <w:t>ثمّ ناقش الدليلين وقال: أمّا الدليل الأوّل فضعيف؛ لأنّ الاستعمال المذكور نادر، ومحتاج إلى قرينة، ولا يقاس عليه غيره، مضافاً إلى أنّ الغالب في استعمال المفرد المحلّى باللام أن يراد منه الجنس لا العموم.</w:t>
      </w:r>
    </w:p>
    <w:p w14:paraId="36D702A7" w14:textId="77777777" w:rsidR="007915AC" w:rsidRDefault="007915AC" w:rsidP="007915AC">
      <w:pPr>
        <w:widowControl w:val="0"/>
        <w:bidi/>
        <w:spacing w:after="0"/>
        <w:ind w:firstLine="289"/>
        <w:jc w:val="both"/>
        <w:rPr>
          <w:rFonts w:ascii="Amiri" w:hAnsi="Amiri" w:cs="Abz-2 (Badr)" w:hint="cs"/>
          <w:spacing w:val="-4"/>
          <w:sz w:val="28"/>
          <w:szCs w:val="28"/>
          <w:rtl/>
        </w:rPr>
      </w:pPr>
      <w:r>
        <w:rPr>
          <w:rFonts w:ascii="Amiri" w:hAnsi="Amiri" w:cs="Abz-2 (Badr)" w:hint="cs"/>
          <w:spacing w:val="-4"/>
          <w:sz w:val="28"/>
          <w:szCs w:val="28"/>
          <w:rtl/>
        </w:rPr>
        <w:t>على أنّ مدلول العامّ هو «كلّ فرد فرد»، بينما مدلول الجمع هو «مجموع الأفراد»، ولذلك لا يصحّ توصيف أحدهما بالآخر. ولا ينافي ذلك القول بأنّ عموم الجمع غالباً استغراقي؛ لأنّ الاستغراقيّة إنّما ترجع إلى نحو تعلّق الحكم بالأفراد، لا إلى مدلول اللفظ.</w:t>
      </w:r>
    </w:p>
    <w:p w14:paraId="718D9E8D" w14:textId="77777777" w:rsidR="007915AC" w:rsidRDefault="007915AC" w:rsidP="007915AC">
      <w:pPr>
        <w:widowControl w:val="0"/>
        <w:bidi/>
        <w:spacing w:after="0"/>
        <w:ind w:firstLine="289"/>
        <w:jc w:val="both"/>
        <w:rPr>
          <w:rFonts w:ascii="Amiri" w:hAnsi="Amiri" w:cs="Abz-2 (Badr)" w:hint="cs"/>
          <w:spacing w:val="-4"/>
          <w:sz w:val="28"/>
          <w:szCs w:val="28"/>
          <w:rtl/>
        </w:rPr>
      </w:pPr>
      <w:r>
        <w:rPr>
          <w:rFonts w:ascii="Amiri" w:hAnsi="Amiri" w:cs="Abz-2 (Badr)" w:hint="cs"/>
          <w:spacing w:val="-4"/>
          <w:sz w:val="28"/>
          <w:szCs w:val="28"/>
          <w:rtl/>
        </w:rPr>
        <w:t>وأمّا وجه ارتباط هذا الإشكال بالاستدلال، فإمّا أن يرجع إلى منع الصغرى ـ أي منع جواز الوصف بصيغة الجمع ـ وهو يستلزم منع صحّة المثالين المذكورين أو منع شمولهما لما نحن فيه، وإمّا أن يرجع إلى منع الكبرى، بأن يقال: إنّ الموصوف بصيغة الجمع ـ على فرض صحّة الوصف ـ ليس من قبيل العامّ الاستغراقي، وإنّما هو عامّ مجموعي خارج عن محلّ النزاع.</w:t>
      </w:r>
    </w:p>
    <w:p w14:paraId="610877EA" w14:textId="77777777" w:rsidR="007915AC" w:rsidRDefault="007915AC" w:rsidP="007915AC">
      <w:pPr>
        <w:widowControl w:val="0"/>
        <w:bidi/>
        <w:spacing w:after="0"/>
        <w:ind w:firstLine="289"/>
        <w:jc w:val="both"/>
        <w:rPr>
          <w:rFonts w:ascii="Amiri" w:hAnsi="Amiri" w:cs="Abz-2 (Badr)" w:hint="cs"/>
          <w:spacing w:val="-4"/>
          <w:sz w:val="28"/>
          <w:szCs w:val="28"/>
          <w:rtl/>
        </w:rPr>
      </w:pPr>
      <w:r>
        <w:rPr>
          <w:rFonts w:ascii="Amiri" w:hAnsi="Amiri" w:cs="Abz-2 (Badr)" w:hint="cs"/>
          <w:spacing w:val="-4"/>
          <w:sz w:val="28"/>
          <w:szCs w:val="28"/>
          <w:rtl/>
        </w:rPr>
        <w:t>وأمّا في مقام المناقشة في الاستدلال الثاني، فقد ذكر أنّ مفاد «اللام» في المفرد والجمع ليس هو الاستغراق وضعاً، وإنّما هي لمجرّد الإشارة إلى مدلول المدخول مع تعيّن لاحق؛ ففي المفرد تكون الإشارة إلى الحقيقة مع تعيّن جنسي أو شخصي، وفي الجمع تكون الإشارة إلى أفراد متعيّنة ولو بقرينة العهد.</w:t>
      </w:r>
    </w:p>
    <w:p w14:paraId="1CED2D0B" w14:textId="77777777" w:rsidR="007915AC" w:rsidRDefault="007915AC" w:rsidP="007915AC">
      <w:pPr>
        <w:widowControl w:val="0"/>
        <w:bidi/>
        <w:spacing w:after="0"/>
        <w:ind w:firstLine="289"/>
        <w:jc w:val="both"/>
        <w:rPr>
          <w:rFonts w:ascii="Amiri" w:hAnsi="Amiri" w:cs="Abz-2 (Badr)"/>
          <w:spacing w:val="-4"/>
          <w:sz w:val="28"/>
          <w:szCs w:val="28"/>
        </w:rPr>
      </w:pPr>
      <w:r>
        <w:rPr>
          <w:rFonts w:ascii="Amiri" w:hAnsi="Amiri" w:cs="Abz-2 (Badr)" w:hint="cs"/>
          <w:spacing w:val="-4"/>
          <w:sz w:val="28"/>
          <w:szCs w:val="28"/>
          <w:rtl/>
        </w:rPr>
        <w:t>وعليه فـ «اللام» لا تستعمل في نفسها في معنى الاستغراق في شيء من الموردين، وإن كان دخولها على الجمع قد يقتضي ـ عند عدم القرينة الصارفة إلى إرادة البعض ـ تعيّن إرادة استغراق الأفراد.</w:t>
      </w:r>
    </w:p>
    <w:p w14:paraId="51E5BB16" w14:textId="77777777" w:rsidR="007915AC" w:rsidRDefault="007915AC" w:rsidP="007915AC">
      <w:pPr>
        <w:widowControl w:val="0"/>
        <w:bidi/>
        <w:spacing w:after="0"/>
        <w:ind w:firstLine="289"/>
        <w:jc w:val="both"/>
        <w:rPr>
          <w:rFonts w:ascii="Amiri" w:hAnsi="Amiri" w:cs="Abz-2 (Badr)"/>
          <w:spacing w:val="-4"/>
          <w:sz w:val="28"/>
          <w:szCs w:val="28"/>
        </w:rPr>
      </w:pPr>
      <w:r>
        <w:rPr>
          <w:rFonts w:ascii="Amiri" w:hAnsi="Amiri" w:cs="Abz-2 (Badr)" w:hint="cs"/>
          <w:spacing w:val="-4"/>
          <w:sz w:val="28"/>
          <w:szCs w:val="28"/>
          <w:rtl/>
        </w:rPr>
        <w:lastRenderedPageBreak/>
        <w:t>وأمّا في المفرد، فإنّ إفادة العموم لا تحصل إلّا بقرينة خارجيّة ـ كوقوعه في حيّز الاستثناء ـ لا بنفس «اللام»؛ فـ «اللام» لا توجب الاستغراق في المفرد من غير معونة دليل آخر.</w:t>
      </w:r>
    </w:p>
    <w:p w14:paraId="75472EC1" w14:textId="77777777" w:rsidR="007915AC" w:rsidRDefault="007915AC" w:rsidP="007915AC">
      <w:pPr>
        <w:widowControl w:val="0"/>
        <w:bidi/>
        <w:spacing w:after="0"/>
        <w:ind w:firstLine="289"/>
        <w:jc w:val="both"/>
        <w:rPr>
          <w:rFonts w:ascii="Amiri" w:hAnsi="Amiri" w:cs="Abz-2 (Badr)" w:hint="cs"/>
          <w:spacing w:val="-4"/>
          <w:sz w:val="28"/>
          <w:szCs w:val="28"/>
          <w:rtl/>
        </w:rPr>
      </w:pPr>
      <w:r>
        <w:rPr>
          <w:rFonts w:ascii="Amiri" w:hAnsi="Amiri" w:cs="Abz-2 (Badr)" w:hint="cs"/>
          <w:spacing w:val="-4"/>
          <w:sz w:val="28"/>
          <w:szCs w:val="28"/>
          <w:rtl/>
        </w:rPr>
        <w:t>وحيث إنّه کما يمكن لحاظ الحقيقة مع «اللام» بنحو يشمل جميع الأفراد عند قيام القرينة، كذلك النكرة أيضاً قد تفيد هذا الشمول بقرينة خارجيّة، يتّضح بذلك أنّه لا فرق في إفادة الاستغراق بين المفرد المعرّف والنكرة، وأنّ المدار في كليهما على القرينة الخارجيّة.</w:t>
      </w:r>
      <w:r>
        <w:rPr>
          <w:rStyle w:val="FootnoteReference"/>
          <w:rFonts w:cs="Abz-2 (Badr)"/>
          <w:sz w:val="28"/>
          <w:szCs w:val="28"/>
          <w:rtl/>
        </w:rPr>
        <w:footnoteReference w:id="5"/>
      </w:r>
    </w:p>
    <w:p w14:paraId="46D9944E" w14:textId="77777777" w:rsidR="007915AC" w:rsidRDefault="007915AC" w:rsidP="007915AC">
      <w:pPr>
        <w:widowControl w:val="0"/>
        <w:bidi/>
        <w:spacing w:after="0"/>
        <w:ind w:firstLine="289"/>
        <w:jc w:val="both"/>
        <w:rPr>
          <w:rFonts w:ascii="Amiri" w:hAnsi="Amiri" w:cs="Abz-2 (Badr)"/>
          <w:spacing w:val="-4"/>
          <w:sz w:val="28"/>
          <w:szCs w:val="28"/>
        </w:rPr>
      </w:pPr>
      <w:r>
        <w:rPr>
          <w:rFonts w:ascii="Amiri" w:hAnsi="Amiri" w:cs="Abz-2 (Badr)" w:hint="cs"/>
          <w:b/>
          <w:bCs/>
          <w:spacing w:val="-4"/>
          <w:sz w:val="28"/>
          <w:szCs w:val="28"/>
          <w:rtl/>
          <w:lang w:bidi="fa-IR"/>
        </w:rPr>
        <w:t>أقول:</w:t>
      </w:r>
      <w:r>
        <w:rPr>
          <w:rFonts w:ascii="Amiri" w:hAnsi="Amiri" w:cs="Abz-2 (Badr)" w:hint="cs"/>
          <w:spacing w:val="-4"/>
          <w:sz w:val="28"/>
          <w:szCs w:val="28"/>
          <w:rtl/>
          <w:lang w:bidi="fa-IR"/>
        </w:rPr>
        <w:t xml:space="preserve"> إنّ</w:t>
      </w:r>
      <w:r>
        <w:rPr>
          <w:rFonts w:ascii="Amiri" w:hAnsi="Amiri" w:cs="Abz-2 (Badr)" w:hint="cs"/>
          <w:spacing w:val="-4"/>
          <w:sz w:val="28"/>
          <w:szCs w:val="28"/>
          <w:rtl/>
        </w:rPr>
        <w:t xml:space="preserve"> ما ذكره في ردّ الاستدلال الأوّل يناقش بأنّ الاستغراقيّة ليست ناظرة إلى كيفيّة تعلّق الحكم بالمدلول، بل هي راجعة إلى کيفيّة لحاظ الأفراد حيث يلحظ کلّ فرد لا بشرط بالإضافة إلى غيره. ومن ثمّ فکون الوصف في العموم الاستغراقي بصيغة المفرد إنّما هو بلحاظ أنّ كلّ فرد يلحظ مستقلّاً عن سائر الأفراد في مقام الوضع والدلالة.</w:t>
      </w:r>
    </w:p>
    <w:p w14:paraId="241B4749" w14:textId="77777777" w:rsidR="007915AC" w:rsidRDefault="007915AC" w:rsidP="007915AC">
      <w:pPr>
        <w:widowControl w:val="0"/>
        <w:bidi/>
        <w:spacing w:after="0"/>
        <w:ind w:firstLine="289"/>
        <w:jc w:val="both"/>
        <w:rPr>
          <w:rFonts w:ascii="Amiri" w:hAnsi="Amiri" w:cs="Abz-2 (Badr)" w:hint="cs"/>
          <w:spacing w:val="-4"/>
          <w:sz w:val="28"/>
          <w:szCs w:val="28"/>
          <w:rtl/>
        </w:rPr>
      </w:pPr>
      <w:r>
        <w:rPr>
          <w:rFonts w:ascii="Amiri" w:hAnsi="Amiri" w:cs="Abz-2 (Badr)" w:hint="cs"/>
          <w:spacing w:val="-4"/>
          <w:sz w:val="28"/>
          <w:szCs w:val="28"/>
          <w:rtl/>
        </w:rPr>
        <w:t>وأمّا ما أفاده في ردّ الاستدلال الثاني، فمآله إلى نفي كون اللام موضوعة للاستغراق، فيتعيّن أنّ إفادة العموم عند دخولها على المفرد إنّما تكون بالقرائن الخارجيّة لا بالدلالة الوضعيّة. وعليه فالعموم المستفاد في المقام غير وضعي يقدّم عليه ـ عند التعارض ـ سائر العمومات الثابتة بالوضع.</w:t>
      </w:r>
    </w:p>
    <w:p w14:paraId="458A71EB" w14:textId="77777777" w:rsidR="007915AC" w:rsidRDefault="007915AC" w:rsidP="007915AC">
      <w:pPr>
        <w:widowControl w:val="0"/>
        <w:bidi/>
        <w:spacing w:after="0"/>
        <w:ind w:firstLine="289"/>
        <w:jc w:val="both"/>
        <w:rPr>
          <w:rFonts w:ascii="Amiri" w:hAnsi="Amiri" w:cs="Abz-2 (Badr)" w:hint="cs"/>
          <w:spacing w:val="-4"/>
          <w:sz w:val="28"/>
          <w:szCs w:val="28"/>
          <w:rtl/>
          <w:lang w:bidi="fa-IR"/>
        </w:rPr>
      </w:pPr>
      <w:r>
        <w:rPr>
          <w:rFonts w:ascii="Amiri" w:hAnsi="Amiri" w:cs="Abz-2 (Badr)" w:hint="cs"/>
          <w:spacing w:val="-4"/>
          <w:sz w:val="28"/>
          <w:szCs w:val="28"/>
          <w:rtl/>
        </w:rPr>
        <w:t>قد يقال: إنّ ما أفاده ليس دعوىً بلا أساس؛ فإنّه إذا قيل: «العالم» مثلاً، فمرحلة الدلالة التصوّرية تتحمّل احتمالين: أن تكون «اللام» فيه للعهد أو للجنس، ولا يتعيّن أحدهما إلّا بقرينة صارفة إليه.</w:t>
      </w:r>
    </w:p>
    <w:p w14:paraId="6B411943" w14:textId="77777777" w:rsidR="007915AC" w:rsidRDefault="007915AC" w:rsidP="007915AC">
      <w:pPr>
        <w:widowControl w:val="0"/>
        <w:bidi/>
        <w:spacing w:after="0"/>
        <w:ind w:firstLine="289"/>
        <w:jc w:val="both"/>
        <w:rPr>
          <w:rFonts w:ascii="Amiri" w:hAnsi="Amiri" w:cs="Abz-2 (Badr)"/>
          <w:spacing w:val="-4"/>
          <w:sz w:val="28"/>
          <w:szCs w:val="28"/>
          <w:lang w:bidi="fa-IR"/>
        </w:rPr>
      </w:pPr>
      <w:r>
        <w:rPr>
          <w:rFonts w:ascii="Amiri" w:hAnsi="Amiri" w:cs="Abz-2 (Badr)" w:hint="cs"/>
          <w:spacing w:val="-4"/>
          <w:sz w:val="28"/>
          <w:szCs w:val="28"/>
          <w:rtl/>
        </w:rPr>
        <w:t>ولكن يدفعه أنّ توقّف تعيين أحد المعنيين على القرينة لا يدلّ على أنّهما ليسا من معاني اللفظ الموضوعة له، فإنّ مجرّد احتياج التعيين إلى قرينة لا يساوق خروج ذلك عن الوضع، وإلّا لزم نظيره في موارد الاشتراك اللفظي أيضاً، مع أنّه لا إشكال في كون المعاني المتعدّدة هناك كلّها موضوعاً لها وإنّما يتوقّف تعيين المراد منها على القرينة.</w:t>
      </w:r>
    </w:p>
    <w:p w14:paraId="3B7317D3" w14:textId="77777777" w:rsidR="007915AC" w:rsidRDefault="007915AC" w:rsidP="007915AC">
      <w:pPr>
        <w:widowControl w:val="0"/>
        <w:bidi/>
        <w:spacing w:after="0"/>
        <w:ind w:firstLine="289"/>
        <w:jc w:val="both"/>
        <w:rPr>
          <w:rFonts w:ascii="Amiri" w:hAnsi="Amiri" w:cs="Abz-2 (Badr)"/>
          <w:spacing w:val="-4"/>
          <w:sz w:val="28"/>
          <w:szCs w:val="28"/>
          <w:lang w:bidi="fa-IR"/>
        </w:rPr>
      </w:pPr>
      <w:r>
        <w:rPr>
          <w:rFonts w:ascii="Amiri" w:hAnsi="Amiri" w:cs="Abz-2 (Badr)" w:hint="cs"/>
          <w:spacing w:val="-4"/>
          <w:sz w:val="28"/>
          <w:szCs w:val="28"/>
          <w:rtl/>
        </w:rPr>
        <w:t>وأمّا نقد ما أفاده في شأن مدلول «الألف واللام» فنرجئه إلى الجلسة الآتية إن شاء الله تعالى.</w:t>
      </w:r>
    </w:p>
    <w:p w14:paraId="7D9979DE" w14:textId="26D41A3F" w:rsidR="001B24FC" w:rsidRPr="007915AC" w:rsidRDefault="001B24FC" w:rsidP="007915AC">
      <w:pPr>
        <w:rPr>
          <w:rtl/>
        </w:rPr>
      </w:pPr>
    </w:p>
    <w:sectPr w:rsidR="001B24FC" w:rsidRPr="007915AC"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A5CD6" w14:textId="77777777" w:rsidR="00CF1915" w:rsidRDefault="00CF1915" w:rsidP="00C336C5">
      <w:pPr>
        <w:spacing w:after="0" w:line="240" w:lineRule="auto"/>
      </w:pPr>
      <w:r>
        <w:separator/>
      </w:r>
    </w:p>
  </w:endnote>
  <w:endnote w:type="continuationSeparator" w:id="0">
    <w:p w14:paraId="61B9C3D9" w14:textId="77777777" w:rsidR="00CF1915" w:rsidRDefault="00CF1915" w:rsidP="00C336C5">
      <w:pPr>
        <w:spacing w:after="0" w:line="240" w:lineRule="auto"/>
      </w:pPr>
      <w:r>
        <w:continuationSeparator/>
      </w:r>
    </w:p>
  </w:endnote>
  <w:endnote w:type="continuationNotice" w:id="1">
    <w:p w14:paraId="13F97290" w14:textId="77777777" w:rsidR="00CF1915" w:rsidRDefault="00CF19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Amiri">
    <w:panose1 w:val="00000500000000000000"/>
    <w:charset w:val="00"/>
    <w:family w:val="auto"/>
    <w:pitch w:val="variable"/>
    <w:sig w:usb0="A000206F" w:usb1="82002043" w:usb2="00000008" w:usb3="00000000" w:csb0="000000D3"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566EC" w14:textId="77777777" w:rsidR="000425AB" w:rsidRDefault="000425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7AB73" w14:textId="77777777" w:rsidR="000425AB" w:rsidRDefault="00042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7D96E" w14:textId="77777777" w:rsidR="00CF1915" w:rsidRDefault="00CF1915" w:rsidP="00C336C5">
      <w:pPr>
        <w:bidi/>
        <w:spacing w:after="0" w:line="240" w:lineRule="auto"/>
      </w:pPr>
      <w:r>
        <w:separator/>
      </w:r>
    </w:p>
  </w:footnote>
  <w:footnote w:type="continuationSeparator" w:id="0">
    <w:p w14:paraId="4AEF390F" w14:textId="77777777" w:rsidR="00CF1915" w:rsidRDefault="00CF1915" w:rsidP="00C336C5">
      <w:pPr>
        <w:spacing w:after="0" w:line="240" w:lineRule="auto"/>
      </w:pPr>
      <w:r>
        <w:continuationSeparator/>
      </w:r>
    </w:p>
  </w:footnote>
  <w:footnote w:type="continuationNotice" w:id="1">
    <w:p w14:paraId="2A65F9B3" w14:textId="77777777" w:rsidR="00CF1915" w:rsidRDefault="00CF1915">
      <w:pPr>
        <w:spacing w:after="0" w:line="240" w:lineRule="auto"/>
      </w:pPr>
    </w:p>
  </w:footnote>
  <w:footnote w:id="2">
    <w:p w14:paraId="4965D67D" w14:textId="77777777" w:rsidR="007915AC" w:rsidRDefault="007915AC" w:rsidP="007915AC">
      <w:pPr>
        <w:pStyle w:val="FootnoteText"/>
        <w:bidi/>
        <w:jc w:val="left"/>
        <w:rPr>
          <w:rFonts w:cs="Abz-2 (Badr)" w:hint="cs"/>
          <w:rtl/>
          <w:lang w:bidi="fa-IR"/>
        </w:rPr>
      </w:pPr>
      <w:r>
        <w:rPr>
          <w:rFonts w:cs="Abz-2 (Badr)"/>
          <w:lang w:bidi="fa-IR"/>
        </w:rPr>
        <w:footnoteRef/>
      </w:r>
      <w:r>
        <w:rPr>
          <w:rFonts w:cs="Abz-2 (Badr)" w:hint="cs"/>
          <w:rtl/>
          <w:lang w:bidi="fa-IR"/>
        </w:rPr>
        <w:t xml:space="preserve"> ـ العصر(103):3 و 4.</w:t>
      </w:r>
    </w:p>
  </w:footnote>
  <w:footnote w:id="3">
    <w:p w14:paraId="62E25545" w14:textId="77777777" w:rsidR="007915AC" w:rsidRDefault="007915AC" w:rsidP="007915AC">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الفصول الغرويّة،ص171 و 172.</w:t>
      </w:r>
    </w:p>
  </w:footnote>
  <w:footnote w:id="4">
    <w:p w14:paraId="1FEE2C6F" w14:textId="77777777" w:rsidR="007915AC" w:rsidRDefault="007915AC" w:rsidP="007915AC">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العصر(103):3 و 4.</w:t>
      </w:r>
    </w:p>
  </w:footnote>
  <w:footnote w:id="5">
    <w:p w14:paraId="0F2B552D" w14:textId="77777777" w:rsidR="007915AC" w:rsidRDefault="007915AC" w:rsidP="007915AC">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الفصول الغرويّة،ص171 و 172.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0800" w14:textId="77777777" w:rsidR="000425AB" w:rsidRDefault="000425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5B7A486F"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CB67E9">
                            <w:rPr>
                              <w:rFonts w:cs="B Mehr"/>
                              <w:lang w:bidi="fa-IR"/>
                            </w:rPr>
                            <w:t xml:space="preserve"> </w:t>
                          </w:r>
                          <w:r w:rsidR="003F4E57">
                            <w:rPr>
                              <w:rFonts w:cs="B Mehr" w:hint="cs"/>
                              <w:rtl/>
                              <w:lang w:bidi="fa-IR"/>
                            </w:rPr>
                            <w:t xml:space="preserve"> </w:t>
                          </w:r>
                          <w:r w:rsidR="007915AC">
                            <w:rPr>
                              <w:rFonts w:cs="B Mehr" w:hint="cs"/>
                              <w:rtl/>
                              <w:lang w:bidi="fa-IR"/>
                            </w:rPr>
                            <w:t xml:space="preserve">دو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7915AC">
                            <w:rPr>
                              <w:rFonts w:cs="B Mehr" w:hint="cs"/>
                              <w:rtl/>
                              <w:lang w:bidi="fa-IR"/>
                            </w:rPr>
                            <w:t>5</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5B7A486F"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CB67E9">
                      <w:rPr>
                        <w:rFonts w:cs="B Mehr"/>
                        <w:lang w:bidi="fa-IR"/>
                      </w:rPr>
                      <w:t xml:space="preserve"> </w:t>
                    </w:r>
                    <w:r w:rsidR="003F4E57">
                      <w:rPr>
                        <w:rFonts w:cs="B Mehr" w:hint="cs"/>
                        <w:rtl/>
                        <w:lang w:bidi="fa-IR"/>
                      </w:rPr>
                      <w:t xml:space="preserve"> </w:t>
                    </w:r>
                    <w:r w:rsidR="007915AC">
                      <w:rPr>
                        <w:rFonts w:cs="B Mehr" w:hint="cs"/>
                        <w:rtl/>
                        <w:lang w:bidi="fa-IR"/>
                      </w:rPr>
                      <w:t xml:space="preserve">دو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7915AC">
                      <w:rPr>
                        <w:rFonts w:cs="B Mehr" w:hint="cs"/>
                        <w:rtl/>
                        <w:lang w:bidi="fa-IR"/>
                      </w:rPr>
                      <w:t>5</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8983A" w14:textId="77777777" w:rsidR="000425AB" w:rsidRDefault="000425A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15AC"/>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1915"/>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27752359">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4103</TotalTime>
  <Pages>1</Pages>
  <Words>1011</Words>
  <Characters>5767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1232</cp:revision>
  <cp:lastPrinted>2025-04-15T09:36:00Z</cp:lastPrinted>
  <dcterms:created xsi:type="dcterms:W3CDTF">2022-10-16T08:36:00Z</dcterms:created>
  <dcterms:modified xsi:type="dcterms:W3CDTF">2025-10-28T08:22:00Z</dcterms:modified>
</cp:coreProperties>
</file>