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AE7C7" w14:textId="77777777" w:rsidR="004B7981" w:rsidRDefault="004B7981" w:rsidP="004B7981">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290A71F8" w14:textId="77777777" w:rsidR="004B7981" w:rsidRDefault="004B7981" w:rsidP="004B7981">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10C3052C" w14:textId="77777777" w:rsidR="004B7981" w:rsidRDefault="004B7981" w:rsidP="004B7981">
      <w:pPr>
        <w:widowControl w:val="0"/>
        <w:bidi/>
        <w:spacing w:after="240"/>
        <w:jc w:val="center"/>
        <w:rPr>
          <w:rFonts w:cs="B Mitra" w:hint="cs"/>
          <w:b/>
          <w:bCs/>
          <w:sz w:val="32"/>
          <w:szCs w:val="32"/>
          <w:rtl/>
          <w:lang w:bidi="fa-IR"/>
        </w:rPr>
      </w:pPr>
      <w:r>
        <w:rPr>
          <w:rFonts w:cs="B Mitra" w:hint="cs"/>
          <w:b/>
          <w:bCs/>
          <w:sz w:val="32"/>
          <w:szCs w:val="32"/>
          <w:rtl/>
          <w:lang w:bidi="fa-IR"/>
        </w:rPr>
        <w:t>جلسه 959</w:t>
      </w:r>
    </w:p>
    <w:bookmarkEnd w:id="0"/>
    <w:p w14:paraId="24AA26CD" w14:textId="77777777" w:rsidR="004B7981" w:rsidRDefault="004B7981" w:rsidP="004B7981">
      <w:pPr>
        <w:widowControl w:val="0"/>
        <w:bidi/>
        <w:spacing w:before="240"/>
        <w:ind w:firstLine="289"/>
        <w:jc w:val="both"/>
        <w:rPr>
          <w:rFonts w:cs="2  Mitra" w:hint="cs"/>
          <w:sz w:val="28"/>
          <w:szCs w:val="28"/>
          <w:rtl/>
        </w:rPr>
      </w:pPr>
      <w:r>
        <w:rPr>
          <w:rFonts w:cs="2  Mitra" w:hint="cs"/>
          <w:sz w:val="28"/>
          <w:szCs w:val="28"/>
          <w:rtl/>
        </w:rPr>
        <w:t>گفتيم که مرحوم آيت الله روحانی فرموده</w:t>
      </w:r>
      <w:r>
        <w:rPr>
          <w:rFonts w:cs="2  Mitra" w:hint="cs"/>
          <w:sz w:val="28"/>
          <w:szCs w:val="28"/>
          <w:rtl/>
        </w:rPr>
        <w:softHyphen/>
        <w:t>اند: بنابر اين که «کل» سبب تعميم مدخول خود بر افرادی شود که از مدخول اراده شده است، در مقام تعارض با دليل مطلق، نمی</w:t>
      </w:r>
      <w:r>
        <w:rPr>
          <w:rFonts w:cs="2  Mitra" w:hint="cs"/>
          <w:sz w:val="28"/>
          <w:szCs w:val="28"/>
          <w:rtl/>
        </w:rPr>
        <w:softHyphen/>
        <w:t>توان يکی از آنها را بر ديگری ترجيح داد، وگرنه ترجيح در مقام تعارض با دليلی است که عموم دارد.</w:t>
      </w:r>
    </w:p>
    <w:p w14:paraId="2E9F5AB2" w14:textId="77777777" w:rsidR="004B7981" w:rsidRDefault="004B7981" w:rsidP="004B7981">
      <w:pPr>
        <w:widowControl w:val="0"/>
        <w:bidi/>
        <w:spacing w:before="240"/>
        <w:ind w:firstLine="289"/>
        <w:jc w:val="both"/>
        <w:rPr>
          <w:rFonts w:cs="2  Mitra" w:hint="cs"/>
          <w:sz w:val="28"/>
          <w:szCs w:val="28"/>
          <w:rtl/>
        </w:rPr>
      </w:pPr>
      <w:r>
        <w:rPr>
          <w:rFonts w:cs="2  Mitra" w:hint="cs"/>
          <w:sz w:val="28"/>
          <w:szCs w:val="28"/>
          <w:rtl/>
        </w:rPr>
        <w:t>حق نيز در اين مطلب با ايشان است؛ مثلاً اگر در يک دليل گفته شود: «</w:t>
      </w:r>
      <w:r>
        <w:rPr>
          <w:rFonts w:cs="Abz-2 (Badr)" w:hint="cs"/>
          <w:sz w:val="28"/>
          <w:szCs w:val="28"/>
          <w:rtl/>
        </w:rPr>
        <w:t>أکرم کلّ عالم</w:t>
      </w:r>
      <w:r>
        <w:rPr>
          <w:rFonts w:cs="2  Mitra" w:hint="cs"/>
          <w:sz w:val="28"/>
          <w:szCs w:val="28"/>
          <w:rtl/>
        </w:rPr>
        <w:t>» و در دليل دوم گفته شود: «</w:t>
      </w:r>
      <w:r>
        <w:rPr>
          <w:rFonts w:cs="Abz-2 (Badr)" w:hint="cs"/>
          <w:sz w:val="28"/>
          <w:szCs w:val="28"/>
          <w:rtl/>
        </w:rPr>
        <w:t>لا تکرم فاسقاً</w:t>
      </w:r>
      <w:r>
        <w:rPr>
          <w:rFonts w:cs="2  Mitra" w:hint="cs"/>
          <w:sz w:val="28"/>
          <w:szCs w:val="28"/>
          <w:rtl/>
        </w:rPr>
        <w:t>»، چنانچه شمول دليل اول بر «عالم فاسق» را متوقف بر تماميت مقدمات حکمت بدانيم، وجهی برای تقديم آن بر دلیل دوم وجود نخواهد داشت، زيرا دلیل دوم صلاحيت اين را داراست که قرينه</w:t>
      </w:r>
      <w:r>
        <w:rPr>
          <w:rFonts w:cs="2  Mitra" w:hint="cs"/>
          <w:sz w:val="28"/>
          <w:szCs w:val="28"/>
          <w:rtl/>
        </w:rPr>
        <w:softHyphen/>
        <w:t>ای بر خلاف آن باشد. اما اگر شمول دليل اول بر «عالم فاسق» را وضعی و مبتنی بر عموم دليل بدانيم، می</w:t>
      </w:r>
      <w:r>
        <w:rPr>
          <w:rFonts w:cs="2  Mitra" w:hint="cs"/>
          <w:sz w:val="28"/>
          <w:szCs w:val="28"/>
          <w:rtl/>
        </w:rPr>
        <w:softHyphen/>
        <w:t>توانيم قائل به تقديم آن بر دليل دوم و وجوب اکرام عالم فاسق و تقييد دليل دوم به واسطه دليل اول گرديم.</w:t>
      </w:r>
    </w:p>
    <w:p w14:paraId="3267186F" w14:textId="77777777" w:rsidR="004B7981" w:rsidRDefault="004B7981" w:rsidP="004B7981">
      <w:pPr>
        <w:widowControl w:val="0"/>
        <w:bidi/>
        <w:spacing w:before="240" w:line="264" w:lineRule="auto"/>
        <w:ind w:firstLine="289"/>
        <w:jc w:val="both"/>
        <w:rPr>
          <w:rFonts w:cs="2  Mitra" w:hint="cs"/>
          <w:color w:val="000000" w:themeColor="text1"/>
          <w:sz w:val="28"/>
          <w:szCs w:val="28"/>
          <w:rtl/>
        </w:rPr>
      </w:pPr>
      <w:r>
        <w:rPr>
          <w:rFonts w:cs="2  Mitra" w:hint="cs"/>
          <w:color w:val="000000" w:themeColor="text1"/>
          <w:sz w:val="28"/>
          <w:szCs w:val="28"/>
          <w:rtl/>
        </w:rPr>
        <w:t>اما مرحوم میرزای نائینی در پاسخ به عدم وجود وجهی برای تقدیم عام بر مطلق در مقام تعارض بنابر تمامیت این مبنا، چنین می‌فرماید: گرچه احراز اطلاق هم در مطلق و هم در عام متوقف بر تمامیت مقدمات حکمت است، امّا امتیاز عام بر مطلق در مقام تعارض در این است که ادات عموم، به مدلول لفظی خود حکم را بر تمامی افراد مدخول سرایت می‌دهند، بر خلاف مطلق که شمول آن نسبت به افراد صرفاً به حکم عقل بر تساوی آنهاست. بنابر این هرگاه عامی بر خلاف این تساوی دلالت کند، در حکم «بیان» برای مطلق بوده و مانع از سرایت حکم مطلق به همۀ افراد خواهد بود.</w:t>
      </w:r>
      <w:r>
        <w:rPr>
          <w:rStyle w:val="FootnoteReference"/>
          <w:rFonts w:cs="2  Mitra"/>
          <w:sz w:val="28"/>
          <w:szCs w:val="28"/>
          <w:rtl/>
        </w:rPr>
        <w:footnoteReference w:id="2"/>
      </w:r>
    </w:p>
    <w:p w14:paraId="382135E3" w14:textId="77777777" w:rsidR="004B7981" w:rsidRDefault="004B7981" w:rsidP="004B7981">
      <w:pPr>
        <w:widowControl w:val="0"/>
        <w:bidi/>
        <w:spacing w:before="240" w:line="264" w:lineRule="auto"/>
        <w:ind w:firstLine="289"/>
        <w:jc w:val="both"/>
        <w:rPr>
          <w:rFonts w:cs="2  Mitra" w:hint="cs"/>
          <w:color w:val="000000" w:themeColor="text1"/>
          <w:sz w:val="28"/>
          <w:szCs w:val="28"/>
          <w:rtl/>
        </w:rPr>
      </w:pPr>
      <w:r>
        <w:rPr>
          <w:rFonts w:cs="2  Mitra" w:hint="cs"/>
          <w:color w:val="000000" w:themeColor="text1"/>
          <w:sz w:val="28"/>
          <w:szCs w:val="28"/>
          <w:rtl/>
        </w:rPr>
        <w:t>ولی اشکال این مدعا آن است که اولاً: ادوات عموم برای سرایت حکم به تمام افراد مدخول وضع نشده‌اند، بلکه موضوع‌له آنها شمول مدخول بر تمام افراد خودش است و سرایت حکم به این افراد، تنها به تبع این شمول خواهد بود، نه این که خود ادوات برای آن وضع شده باشند.</w:t>
      </w:r>
    </w:p>
    <w:p w14:paraId="6D1D1DF4" w14:textId="77777777" w:rsidR="004B7981" w:rsidRDefault="004B7981" w:rsidP="004B7981">
      <w:pPr>
        <w:widowControl w:val="0"/>
        <w:bidi/>
        <w:spacing w:before="240" w:line="264" w:lineRule="auto"/>
        <w:ind w:firstLine="289"/>
        <w:jc w:val="both"/>
        <w:rPr>
          <w:rFonts w:cs="2  Mitra" w:hint="cs"/>
          <w:color w:val="000000" w:themeColor="text1"/>
          <w:sz w:val="28"/>
          <w:szCs w:val="28"/>
          <w:rtl/>
        </w:rPr>
      </w:pPr>
      <w:r>
        <w:rPr>
          <w:rFonts w:cs="2  Mitra" w:hint="cs"/>
          <w:color w:val="000000" w:themeColor="text1"/>
          <w:sz w:val="28"/>
          <w:szCs w:val="28"/>
          <w:rtl/>
        </w:rPr>
        <w:lastRenderedPageBreak/>
        <w:t>ثانياً: توقف شمول مدخول بر افراد بر جریان مقدمات حکمت مستلزم این است که هر جا قرینه‌ای برخلاف این شمول وجود داشته باشد، مدخول ادوات عموم شامل آن افراد نشود. بنابر این در فرض تعارض عام و مطلق، مطلق می‌تواند به منزله‌ی قرینه‌ای بر عدم شمول مدخول ادوات عموم نسبت به برخی افراد باشد و دلالت وضعی ادوات عموم بر شمول مدخول نسبت به تمام افراد اراده شده از آن، موجب تقدیم عام بر مطلق نخواهد شد.</w:t>
      </w:r>
    </w:p>
    <w:p w14:paraId="11130757" w14:textId="77777777" w:rsidR="004B7981" w:rsidRDefault="004B7981" w:rsidP="004B7981">
      <w:pPr>
        <w:widowControl w:val="0"/>
        <w:bidi/>
        <w:spacing w:before="240"/>
        <w:ind w:firstLine="289"/>
        <w:jc w:val="both"/>
        <w:rPr>
          <w:rFonts w:cs="2  Mitra" w:hint="cs"/>
          <w:color w:val="000000" w:themeColor="text1"/>
          <w:sz w:val="28"/>
          <w:szCs w:val="28"/>
          <w:rtl/>
        </w:rPr>
      </w:pPr>
      <w:r>
        <w:rPr>
          <w:rFonts w:cs="2  Mitra" w:hint="cs"/>
          <w:color w:val="000000" w:themeColor="text1"/>
          <w:sz w:val="28"/>
          <w:szCs w:val="28"/>
          <w:rtl/>
        </w:rPr>
        <w:t>به بیان دیگر: بر اساس مدعای ایشان، گستره‌ی شمول مدخول ادوات عموم نسبت به افراد، متوقف بر این است که با توجه به تمامیت مقدمات حکمت یا وجود قید، روشن شود که آنچه از مدخول اراده شده، مقیّد است یا خیر. در این مرحله، وجود دلیل مطلق معارض، می‌تواند به عنوان قرینه‌ای در تعیین دایره‌ی شمول مدخول ادوات عموم نسبت به افراد عمل کند. از این رو دلالت وضعی ادوات عموم بر شمول که در رتبه‌ای متأخر از این مرحله قرار دارد، نمی‌تواند مانع از تقدیم مطلق بر عام شود.</w:t>
      </w:r>
    </w:p>
    <w:p w14:paraId="220D4516" w14:textId="77777777" w:rsidR="004B7981" w:rsidRDefault="004B7981" w:rsidP="004B7981">
      <w:pPr>
        <w:widowControl w:val="0"/>
        <w:tabs>
          <w:tab w:val="num" w:pos="1440"/>
        </w:tabs>
        <w:bidi/>
        <w:spacing w:before="240"/>
        <w:ind w:firstLine="289"/>
        <w:jc w:val="both"/>
        <w:rPr>
          <w:rFonts w:ascii="Neirizi" w:hAnsi="Neirizi" w:cs="Neirizi" w:hint="cs"/>
          <w:spacing w:val="14"/>
          <w:sz w:val="24"/>
          <w:szCs w:val="24"/>
          <w:rtl/>
          <w:lang w:bidi="fa-IR"/>
        </w:rPr>
      </w:pPr>
      <w:r>
        <w:rPr>
          <w:rFonts w:ascii="Neirizi" w:hAnsi="Neirizi" w:cs="Neirizi"/>
          <w:spacing w:val="14"/>
          <w:sz w:val="24"/>
          <w:szCs w:val="24"/>
          <w:rtl/>
          <w:lang w:bidi="fa-IR"/>
        </w:rPr>
        <w:t xml:space="preserve">3 </w:t>
      </w:r>
      <w:r>
        <w:rPr>
          <w:rFonts w:ascii="Neirizi" w:hAnsi="Neirizi" w:cs="Neirizi"/>
          <w:sz w:val="24"/>
          <w:szCs w:val="24"/>
          <w:rtl/>
          <w:lang w:bidi="fa-IR"/>
        </w:rPr>
        <w:t>ـــ</w:t>
      </w:r>
      <w:r>
        <w:rPr>
          <w:rFonts w:ascii="Neirizi" w:hAnsi="Neirizi" w:cs="Neirizi"/>
          <w:spacing w:val="14"/>
          <w:sz w:val="24"/>
          <w:szCs w:val="24"/>
          <w:rtl/>
          <w:lang w:bidi="fa-IR"/>
        </w:rPr>
        <w:t xml:space="preserve"> اسم مفرد يا جمع معرَّف به لام</w:t>
      </w:r>
    </w:p>
    <w:p w14:paraId="72202479" w14:textId="77777777" w:rsidR="004B7981" w:rsidRDefault="004B7981" w:rsidP="004B7981">
      <w:pPr>
        <w:widowControl w:val="0"/>
        <w:bidi/>
        <w:spacing w:before="240"/>
        <w:ind w:firstLine="289"/>
        <w:jc w:val="both"/>
        <w:rPr>
          <w:rFonts w:cs="2  Mitra"/>
          <w:sz w:val="28"/>
          <w:szCs w:val="28"/>
          <w:rtl/>
          <w:lang w:bidi="fa-IR"/>
        </w:rPr>
      </w:pPr>
      <w:r>
        <w:rPr>
          <w:rFonts w:cs="2  Mitra" w:hint="cs"/>
          <w:sz w:val="28"/>
          <w:szCs w:val="28"/>
          <w:rtl/>
          <w:lang w:bidi="fa-IR"/>
        </w:rPr>
        <w:t>اسم مفردی که بر سر آن الف و لام استغراق آمده باشد، افاده عموم می</w:t>
      </w:r>
      <w:r>
        <w:rPr>
          <w:rFonts w:cs="2  Mitra" w:hint="cs"/>
          <w:sz w:val="28"/>
          <w:szCs w:val="28"/>
          <w:rtl/>
          <w:lang w:bidi="fa-IR"/>
        </w:rPr>
        <w:softHyphen/>
        <w:t>کند، چون اين الف و لام وضعاً دلالت بر چنين معنایی دارد، از اين رو مشخّصه آن را اين دانسته</w:t>
      </w:r>
      <w:r>
        <w:rPr>
          <w:rFonts w:cs="2  Mitra" w:hint="cs"/>
          <w:sz w:val="28"/>
          <w:szCs w:val="28"/>
          <w:rtl/>
          <w:lang w:bidi="fa-IR"/>
        </w:rPr>
        <w:softHyphen/>
        <w:t>اند که می</w:t>
      </w:r>
      <w:r>
        <w:rPr>
          <w:rFonts w:cs="2  Mitra" w:hint="cs"/>
          <w:sz w:val="28"/>
          <w:szCs w:val="28"/>
          <w:rtl/>
          <w:lang w:bidi="fa-IR"/>
        </w:rPr>
        <w:softHyphen/>
        <w:t>توان به جای آن از لفظ «کل» استفاده نمود؛ مثل: «</w:t>
      </w:r>
      <w:r>
        <w:rPr>
          <w:rFonts w:cs="Abz-2 (Badr)" w:hint="cs"/>
          <w:sz w:val="28"/>
          <w:szCs w:val="28"/>
          <w:rtl/>
          <w:lang w:bidi="fa-IR"/>
        </w:rPr>
        <w:t>أکرم العالم</w:t>
      </w:r>
      <w:r>
        <w:rPr>
          <w:rFonts w:cs="2  Mitra" w:hint="cs"/>
          <w:sz w:val="28"/>
          <w:szCs w:val="28"/>
          <w:rtl/>
          <w:lang w:bidi="fa-IR"/>
        </w:rPr>
        <w:t>».</w:t>
      </w:r>
    </w:p>
    <w:p w14:paraId="56241ABC" w14:textId="77777777" w:rsidR="004B7981" w:rsidRDefault="004B7981" w:rsidP="004B7981">
      <w:pPr>
        <w:widowControl w:val="0"/>
        <w:bidi/>
        <w:spacing w:before="240"/>
        <w:ind w:firstLine="289"/>
        <w:jc w:val="both"/>
        <w:rPr>
          <w:rFonts w:cs="2  Mitra" w:hint="cs"/>
          <w:sz w:val="28"/>
          <w:szCs w:val="28"/>
          <w:rtl/>
          <w:lang w:bidi="fa-IR"/>
        </w:rPr>
      </w:pPr>
      <w:r>
        <w:rPr>
          <w:rFonts w:cs="2  Mitra" w:hint="cs"/>
          <w:spacing w:val="-4"/>
          <w:sz w:val="28"/>
          <w:szCs w:val="28"/>
          <w:rtl/>
          <w:lang w:bidi="fa-IR"/>
        </w:rPr>
        <w:t>تعيين اين که الف و لام برای استغراق است، به واسطه قرائنی مثل: صلاحيت حکم برای شمول بر جميع افراد جنس ـ مثل:</w:t>
      </w:r>
      <w:r>
        <w:rPr>
          <w:rFonts w:cs="2  Mitra" w:hint="cs"/>
          <w:sz w:val="28"/>
          <w:szCs w:val="28"/>
          <w:rtl/>
          <w:lang w:bidi="fa-IR"/>
        </w:rPr>
        <w:t xml:space="preserve"> «</w:t>
      </w:r>
      <w:r>
        <w:rPr>
          <w:rFonts w:cs="QuranTaha" w:hint="cs"/>
          <w:sz w:val="26"/>
          <w:szCs w:val="26"/>
          <w:rtl/>
          <w:lang w:bidi="fa-IR"/>
        </w:rPr>
        <w:t>خُلِقَ الإنْسَانُ ضَعِيفاً</w:t>
      </w:r>
      <w:r>
        <w:rPr>
          <w:rFonts w:cs="2  Mitra" w:hint="cs"/>
          <w:sz w:val="28"/>
          <w:szCs w:val="28"/>
          <w:rtl/>
          <w:lang w:bidi="fa-IR"/>
        </w:rPr>
        <w:t>»</w:t>
      </w:r>
      <w:r>
        <w:rPr>
          <w:rStyle w:val="FootnoteReference"/>
          <w:rFonts w:cs="2  Mitra"/>
          <w:sz w:val="28"/>
          <w:szCs w:val="28"/>
          <w:rtl/>
        </w:rPr>
        <w:footnoteReference w:id="3"/>
      </w:r>
      <w:r>
        <w:rPr>
          <w:rFonts w:cs="2  Mitra" w:hint="cs"/>
          <w:sz w:val="28"/>
          <w:szCs w:val="28"/>
          <w:rtl/>
          <w:lang w:bidi="fa-IR"/>
        </w:rPr>
        <w:t xml:space="preserve"> ـ يا تناسب حکم و موضوع ـ مثل: «</w:t>
      </w:r>
      <w:r>
        <w:rPr>
          <w:rFonts w:cs="Abz-2 (Badr)" w:hint="cs"/>
          <w:sz w:val="28"/>
          <w:szCs w:val="28"/>
          <w:rtl/>
          <w:lang w:bidi="fa-IR"/>
        </w:rPr>
        <w:t>اجتنب عن الخمر</w:t>
      </w:r>
      <w:r>
        <w:rPr>
          <w:rFonts w:cs="2  Mitra" w:hint="cs"/>
          <w:sz w:val="28"/>
          <w:szCs w:val="28"/>
          <w:rtl/>
          <w:lang w:bidi="fa-IR"/>
        </w:rPr>
        <w:t>» ـ يا حمل اوصاف ذاتی بر آن ـ مثل: «</w:t>
      </w:r>
      <w:r>
        <w:rPr>
          <w:rFonts w:cs="Abz-2 (Badr)" w:hint="cs"/>
          <w:sz w:val="28"/>
          <w:szCs w:val="28"/>
          <w:rtl/>
          <w:lang w:bidi="fa-IR"/>
        </w:rPr>
        <w:t>الإنسان حيوان ناطق</w:t>
      </w:r>
      <w:r>
        <w:rPr>
          <w:rFonts w:cs="2  Mitra" w:hint="cs"/>
          <w:sz w:val="28"/>
          <w:szCs w:val="28"/>
          <w:rtl/>
          <w:lang w:bidi="fa-IR"/>
        </w:rPr>
        <w:t>» ـ انجام می</w:t>
      </w:r>
      <w:r>
        <w:rPr>
          <w:rFonts w:cs="2  Mitra" w:hint="cs"/>
          <w:sz w:val="28"/>
          <w:szCs w:val="28"/>
          <w:rtl/>
          <w:lang w:bidi="fa-IR"/>
        </w:rPr>
        <w:softHyphen/>
        <w:t>پذيرد.</w:t>
      </w:r>
    </w:p>
    <w:p w14:paraId="422283FA" w14:textId="77777777" w:rsidR="004B7981" w:rsidRDefault="004B7981" w:rsidP="004B7981">
      <w:pPr>
        <w:widowControl w:val="0"/>
        <w:bidi/>
        <w:spacing w:before="240"/>
        <w:ind w:firstLine="289"/>
        <w:jc w:val="both"/>
        <w:rPr>
          <w:rFonts w:cs="2  Mitra" w:hint="cs"/>
          <w:sz w:val="28"/>
          <w:szCs w:val="28"/>
          <w:rtl/>
        </w:rPr>
      </w:pPr>
      <w:r>
        <w:rPr>
          <w:rFonts w:cs="2  Mitra" w:hint="cs"/>
          <w:sz w:val="28"/>
          <w:szCs w:val="28"/>
          <w:rtl/>
        </w:rPr>
        <w:t>باید توجه داشت که لام استغراق از اقسام «لام جنس» به شمار می‌آید و در مقابل آن، «لام بیان حقیقت» قرار دارد. تفاوت این دو در آن است که در لام بیان حقیقت، حکم بر خود طبیعت بار می‌شود، بی آن که خصوصیات افراد طبیعت در فعلیت یافتن حکم لحاظ شده باشند.</w:t>
      </w:r>
    </w:p>
    <w:p w14:paraId="412DD3F4" w14:textId="77777777" w:rsidR="004B7981" w:rsidRDefault="004B7981" w:rsidP="004B7981">
      <w:pPr>
        <w:widowControl w:val="0"/>
        <w:bidi/>
        <w:spacing w:before="240"/>
        <w:ind w:firstLine="289"/>
        <w:jc w:val="both"/>
        <w:rPr>
          <w:rFonts w:cs="2  Mitra" w:hint="cs"/>
          <w:spacing w:val="-2"/>
          <w:sz w:val="28"/>
          <w:szCs w:val="28"/>
          <w:rtl/>
          <w:lang w:bidi="fa-IR"/>
        </w:rPr>
      </w:pPr>
      <w:r>
        <w:rPr>
          <w:rFonts w:cs="2  Mitra" w:hint="cs"/>
          <w:spacing w:val="-2"/>
          <w:sz w:val="28"/>
          <w:szCs w:val="28"/>
          <w:rtl/>
        </w:rPr>
        <w:t xml:space="preserve">به عبارت دیگر: این لام تنها بیانگر آن است که طبیعت به اقتضای ذات خود، صلاحیت ترتب حکم بر آن را دارد، هرچند </w:t>
      </w:r>
      <w:r>
        <w:rPr>
          <w:rFonts w:cs="2  Mitra" w:hint="cs"/>
          <w:spacing w:val="-2"/>
          <w:sz w:val="28"/>
          <w:szCs w:val="28"/>
          <w:rtl/>
        </w:rPr>
        <w:lastRenderedPageBreak/>
        <w:t>فعلیت یافتن آن حکم در افراد، مشروط به تحقق شرایط و فقدان موانع است. برای مثال، در جمله‌ی «</w:t>
      </w:r>
      <w:r>
        <w:rPr>
          <w:rFonts w:cs="Abz-2 (Badr)" w:hint="cs"/>
          <w:spacing w:val="-2"/>
          <w:sz w:val="28"/>
          <w:szCs w:val="28"/>
          <w:rtl/>
        </w:rPr>
        <w:t>الإنسان أشرف المخلوقات</w:t>
      </w:r>
      <w:r>
        <w:rPr>
          <w:rFonts w:cs="2  Mitra" w:hint="cs"/>
          <w:spacing w:val="-2"/>
          <w:sz w:val="28"/>
          <w:szCs w:val="28"/>
          <w:rtl/>
        </w:rPr>
        <w:t>»، مراد آن است که طبیعت انسان اقتضا دارد که شریف‌ترین مخلوقات باشد، اما این به معنای آن نیست که همه‌ی افراد انسان بالفعل چنین شرافتی دارند، زیرا فعلیت یافتن این حکم در خصوص آنان، وابسته به وجود شرایط و نبود موانع است</w:t>
      </w:r>
      <w:r>
        <w:rPr>
          <w:rFonts w:cs="2  Mitra" w:hint="cs"/>
          <w:spacing w:val="-2"/>
          <w:sz w:val="28"/>
          <w:szCs w:val="28"/>
          <w:rtl/>
          <w:lang w:bidi="fa-IR"/>
        </w:rPr>
        <w:t>.</w:t>
      </w:r>
    </w:p>
    <w:p w14:paraId="16291215" w14:textId="77777777" w:rsidR="004B7981" w:rsidRDefault="004B7981" w:rsidP="004B7981">
      <w:pPr>
        <w:widowControl w:val="0"/>
        <w:bidi/>
        <w:spacing w:before="240"/>
        <w:ind w:firstLine="289"/>
        <w:jc w:val="both"/>
        <w:rPr>
          <w:rFonts w:cs="2  Mitra"/>
          <w:spacing w:val="-2"/>
          <w:sz w:val="28"/>
          <w:szCs w:val="28"/>
          <w:lang w:bidi="fa-IR"/>
        </w:rPr>
      </w:pPr>
      <w:r>
        <w:rPr>
          <w:rFonts w:cs="2  Mitra" w:hint="cs"/>
          <w:spacing w:val="-2"/>
          <w:sz w:val="28"/>
          <w:szCs w:val="28"/>
          <w:rtl/>
        </w:rPr>
        <w:t>اما در لام استغراق حکم بر طبیعت با لحاظ این نکته بار می‌شود که تمام افراد طبیعت واجد شرایط لازم و فاقد موانع هستند. بنابر این حکمی که بر اسم محلّى به این لام مترتب می‌گردد، در همه‌ی افراد طبیعت به نحو فعلی ثابت خواهد بود</w:t>
      </w:r>
      <w:r>
        <w:rPr>
          <w:rFonts w:cs="2  Mitra" w:hint="cs"/>
          <w:spacing w:val="-2"/>
          <w:sz w:val="28"/>
          <w:szCs w:val="28"/>
          <w:rtl/>
          <w:lang w:bidi="fa-IR"/>
        </w:rPr>
        <w:t>.</w:t>
      </w:r>
    </w:p>
    <w:p w14:paraId="40A76C52" w14:textId="77777777" w:rsidR="004B7981" w:rsidRDefault="004B7981" w:rsidP="004B7981">
      <w:pPr>
        <w:widowControl w:val="0"/>
        <w:bidi/>
        <w:spacing w:before="240"/>
        <w:ind w:firstLine="289"/>
        <w:jc w:val="both"/>
        <w:rPr>
          <w:rFonts w:cs="2  Mitra" w:hint="cs"/>
          <w:spacing w:val="-2"/>
          <w:sz w:val="28"/>
          <w:szCs w:val="28"/>
          <w:rtl/>
          <w:lang w:bidi="fa-IR"/>
        </w:rPr>
      </w:pPr>
      <w:r>
        <w:rPr>
          <w:rFonts w:cs="2  Mitra" w:hint="cs"/>
          <w:spacing w:val="-2"/>
          <w:sz w:val="28"/>
          <w:szCs w:val="28"/>
          <w:rtl/>
          <w:lang w:bidi="fa-IR"/>
        </w:rPr>
        <w:t>ادامه بحث را به جلسه آينده موکول می</w:t>
      </w:r>
      <w:r>
        <w:rPr>
          <w:rFonts w:cs="2  Mitra" w:hint="cs"/>
          <w:spacing w:val="-2"/>
          <w:sz w:val="28"/>
          <w:szCs w:val="28"/>
          <w:rtl/>
          <w:lang w:bidi="fa-IR"/>
        </w:rPr>
        <w:softHyphen/>
        <w:t>کنيم ان شاء الله.</w:t>
      </w:r>
    </w:p>
    <w:p w14:paraId="71F36492" w14:textId="77777777" w:rsidR="004B7981" w:rsidRDefault="004B7981" w:rsidP="004B7981">
      <w:pPr>
        <w:rPr>
          <w:rFonts w:cs="2  Mitra" w:hint="cs"/>
          <w:spacing w:val="-2"/>
          <w:sz w:val="28"/>
          <w:szCs w:val="28"/>
          <w:rtl/>
          <w:lang w:bidi="fa-IR"/>
        </w:rPr>
      </w:pPr>
      <w:r>
        <w:rPr>
          <w:rFonts w:cs="2  Mitra" w:hint="cs"/>
          <w:spacing w:val="-2"/>
          <w:sz w:val="28"/>
          <w:szCs w:val="28"/>
          <w:rtl/>
          <w:lang w:bidi="fa-IR"/>
        </w:rPr>
        <w:br w:type="page"/>
      </w:r>
    </w:p>
    <w:p w14:paraId="21662CA0" w14:textId="77777777" w:rsidR="004B7981" w:rsidRDefault="004B7981" w:rsidP="004B7981">
      <w:pPr>
        <w:widowControl w:val="0"/>
        <w:bidi/>
        <w:spacing w:after="0"/>
        <w:ind w:firstLine="289"/>
        <w:jc w:val="both"/>
        <w:rPr>
          <w:rFonts w:cs="Abz-2 (Badr)" w:hint="cs"/>
          <w:sz w:val="28"/>
          <w:szCs w:val="28"/>
          <w:rtl/>
        </w:rPr>
      </w:pPr>
      <w:r>
        <w:rPr>
          <w:rFonts w:cs="Abz-2 (Badr)" w:hint="cs"/>
          <w:sz w:val="28"/>
          <w:szCs w:val="28"/>
          <w:rtl/>
        </w:rPr>
        <w:lastRenderedPageBreak/>
        <w:t>قلنا: إنّ السيّد الروحاني ذهب إلى أنّه بناءً على كون «كلّ» موجباً لتعميم مدخوله بالنسبة إلى أفراد ما أُريد منه تبعاً لإطلاقه، لا يمكن عند التعارض بين العامّ والمطلق ترجيح أحدهما على الآخر؛ وأمّا إذا لم تكن دلالة العامّ على العموم متوقّفة على إطلاق المدخول، كان الترجيح عند التعارض للعامّ.</w:t>
      </w:r>
    </w:p>
    <w:p w14:paraId="67CACC11" w14:textId="77777777" w:rsidR="004B7981" w:rsidRDefault="004B7981" w:rsidP="004B7981">
      <w:pPr>
        <w:widowControl w:val="0"/>
        <w:bidi/>
        <w:spacing w:after="0"/>
        <w:ind w:firstLine="289"/>
        <w:jc w:val="both"/>
        <w:rPr>
          <w:rFonts w:cs="Abz-2 (Badr)" w:hint="cs"/>
          <w:sz w:val="28"/>
          <w:szCs w:val="28"/>
          <w:rtl/>
        </w:rPr>
      </w:pPr>
      <w:bookmarkStart w:id="1" w:name="_Hlk212371076"/>
      <w:r>
        <w:rPr>
          <w:rFonts w:cs="Abz-2 (Badr)" w:hint="cs"/>
          <w:sz w:val="28"/>
          <w:szCs w:val="28"/>
          <w:rtl/>
        </w:rPr>
        <w:t>والحقّ في ذلك معه؛ فمثلاً إذا ورد في دليل: «أكرم كلّ عالم»، وورد في دليل آخر: «لا تكرم فاسقاً»، فإنّه لو قيل بأنّ شمول الدليل الأوّل لـ «لعالم الفاسق» متوقّف على تماميّة مقدّمات الحكمة في مدخول «کلّ»، لم يكن وجه لتقديمه على الدليل الثاني؛ لأنّ هذا الأخير صالح لأن يكون قرينة على خلافه. وأمّا إذا قيل بأنّ شمول الدليل الأوّل له ثابت بالوضع ومنشؤه عموم اللفظ، فيقدّم العامّ حينئذٍ على المطلق، فيجب إكرام العالم الفاسق ويقيّد الدليل الثاني بالدليل الأوّل.</w:t>
      </w:r>
    </w:p>
    <w:p w14:paraId="6A038F20" w14:textId="77777777" w:rsidR="004B7981" w:rsidRDefault="004B7981" w:rsidP="004B7981">
      <w:pPr>
        <w:widowControl w:val="0"/>
        <w:bidi/>
        <w:spacing w:after="0"/>
        <w:ind w:firstLine="289"/>
        <w:jc w:val="both"/>
        <w:rPr>
          <w:rFonts w:cs="Abz-2 (Badr)"/>
          <w:sz w:val="28"/>
          <w:szCs w:val="28"/>
        </w:rPr>
      </w:pPr>
      <w:r>
        <w:rPr>
          <w:rFonts w:cs="Abz-2 (Badr)" w:hint="cs"/>
          <w:sz w:val="28"/>
          <w:szCs w:val="28"/>
          <w:rtl/>
        </w:rPr>
        <w:t>إلّا أنّ الميرزا النائيني قد أجاب عن دعوى عدم وجود وجه لتقديم العامّ على المطلق عند التعارض ـ بناءً على مبناه ـ بأنّه وإن كان إحراز الإطلاق في كلّ من المطلق والعامّ موقوفاً على تماميّة مقدّمات الحكمة، إلّا أنّ امتياز العامّ على المطلق يکمن في أنّ أدوات العموم تسري الحكم إلى جميع أفراد مدخولها بالدلالة اللفظيّة، بخلاف المطلق، فإنّ شموله للأفراد إنّما هو بحكم العقل بتساويها في الحكم. فإذا ورد عامّ يرفع هذا التساوي ويدلّ على خلافه، كان ذلك بمنزلة البيان للمطلق، فيمنع عن سراية حكمه إلى جميع الأفراد.</w:t>
      </w:r>
      <w:r>
        <w:rPr>
          <w:rStyle w:val="FootnoteReference"/>
          <w:rFonts w:cs="Abz-2 (Badr)"/>
          <w:sz w:val="28"/>
          <w:szCs w:val="28"/>
          <w:rtl/>
        </w:rPr>
        <w:footnoteReference w:id="4"/>
      </w:r>
    </w:p>
    <w:p w14:paraId="2596AE7F" w14:textId="77777777" w:rsidR="004B7981" w:rsidRDefault="004B7981" w:rsidP="004B7981">
      <w:pPr>
        <w:widowControl w:val="0"/>
        <w:bidi/>
        <w:spacing w:after="0"/>
        <w:ind w:firstLine="289"/>
        <w:jc w:val="both"/>
        <w:rPr>
          <w:rFonts w:ascii="Amiri" w:hAnsi="Amiri" w:cs="Abz-2 (Badr)" w:hint="cs"/>
          <w:spacing w:val="-4"/>
          <w:sz w:val="28"/>
          <w:szCs w:val="28"/>
          <w:rtl/>
        </w:rPr>
      </w:pPr>
      <w:r>
        <w:rPr>
          <w:rFonts w:ascii="Amiri" w:hAnsi="Amiri" w:cs="Abz-2 (Badr)" w:hint="cs"/>
          <w:spacing w:val="-4"/>
          <w:sz w:val="28"/>
          <w:szCs w:val="28"/>
          <w:rtl/>
        </w:rPr>
        <w:t>ولكن يرد عليه أوّلاً: أنّ أدوات العموم لم توضع لإسراء الحكم إلى جميع أفراد المدخول، وإنّما وضعت لإفادة شمول مدخولها لجميع أفراده. وأمّا سراية الحكم إلى تلك الأفراد فتابعة لهذا الشمول وليست مقصودة بالوضع ابتداء.</w:t>
      </w:r>
    </w:p>
    <w:p w14:paraId="20B0F8E2" w14:textId="77777777" w:rsidR="004B7981" w:rsidRDefault="004B7981" w:rsidP="004B7981">
      <w:pPr>
        <w:widowControl w:val="0"/>
        <w:bidi/>
        <w:spacing w:after="0"/>
        <w:ind w:firstLine="289"/>
        <w:jc w:val="both"/>
        <w:rPr>
          <w:rFonts w:ascii="Amiri" w:hAnsi="Amiri" w:cs="Abz-2 (Badr)"/>
          <w:spacing w:val="-4"/>
          <w:sz w:val="28"/>
          <w:szCs w:val="28"/>
        </w:rPr>
      </w:pPr>
      <w:r>
        <w:rPr>
          <w:rFonts w:ascii="Amiri" w:hAnsi="Amiri" w:cs="Abz-2 (Badr)" w:hint="cs"/>
          <w:spacing w:val="-4"/>
          <w:sz w:val="28"/>
          <w:szCs w:val="28"/>
          <w:rtl/>
        </w:rPr>
        <w:t>وثانياً: إنّ توقّف شمول المدخول للأفراد على جريان مقدّمات الحكمة، يستلزم أنّه متى وجدت قرينة على خلاف هذا الشمول، لم يشمل مدخول أدوات العموم تلك الأفراد التي قامت القرينة علی عدم دخولها فيه. وعليه ففي مقام تعارض العامّ والمطلق يمكن للمطلق أن يكون بمثابة قرينة على عدم شمول مدخول أدوات العموم لبعض الأفراد، ولا تكفي الدلالة الوضعيّة لأدوات العموم على أصل الشمول في تقديم العامّ على المطلق.</w:t>
      </w:r>
    </w:p>
    <w:p w14:paraId="4048B92A" w14:textId="77777777" w:rsidR="004B7981" w:rsidRDefault="004B7981" w:rsidP="004B7981">
      <w:pPr>
        <w:widowControl w:val="0"/>
        <w:bidi/>
        <w:spacing w:after="0"/>
        <w:ind w:firstLine="289"/>
        <w:jc w:val="both"/>
        <w:rPr>
          <w:rFonts w:ascii="Amiri" w:hAnsi="Amiri" w:cs="Abz-2 (Badr)"/>
          <w:spacing w:val="-4"/>
          <w:sz w:val="28"/>
          <w:szCs w:val="28"/>
        </w:rPr>
      </w:pPr>
      <w:r>
        <w:rPr>
          <w:rFonts w:ascii="Amiri" w:hAnsi="Amiri" w:cs="Abz-2 (Badr)" w:hint="cs"/>
          <w:spacing w:val="-4"/>
          <w:sz w:val="28"/>
          <w:szCs w:val="28"/>
          <w:rtl/>
        </w:rPr>
        <w:t xml:space="preserve">وبعبارة أُخرى: بناء على ما اتّخذه من المبنی، فإنّ تحديد دائرة شمول مدخول أدوات العموم للأفراد، يتوقّف على إحراز كون المدخول مطلقاً أو مقيّداً، وهذا ما يتكفّله الإطلاق أو التقيد في رتبة سابقة على التعميم الذي يكون أثراً لورود أدوات العموم </w:t>
      </w:r>
      <w:r>
        <w:rPr>
          <w:rFonts w:ascii="Amiri" w:hAnsi="Amiri" w:cs="Abz-2 (Badr)" w:hint="cs"/>
          <w:spacing w:val="-4"/>
          <w:sz w:val="28"/>
          <w:szCs w:val="28"/>
          <w:rtl/>
        </w:rPr>
        <w:lastRenderedPageBreak/>
        <w:t>عليه. وفي هذه المرحلة يصلح المطلق المعارض أن يکون قرينة لتضييق تلك الدائرة وتعيين المراد من المدخول. وأمّا دلالة أدوات العموم على الشمول فهي في رتبة لاحقة على هذه المرحلة، فلا يجدي كون دلالتها علی العموم وضعيّة في منع تقديم المطلق على العامّ عند التعارض.</w:t>
      </w:r>
    </w:p>
    <w:bookmarkEnd w:id="1"/>
    <w:p w14:paraId="40F4498A" w14:textId="77777777" w:rsidR="004B7981" w:rsidRDefault="004B7981" w:rsidP="004B7981">
      <w:pPr>
        <w:widowControl w:val="0"/>
        <w:tabs>
          <w:tab w:val="num" w:pos="1440"/>
        </w:tabs>
        <w:bidi/>
        <w:spacing w:before="240"/>
        <w:ind w:firstLine="289"/>
        <w:jc w:val="both"/>
        <w:rPr>
          <w:rFonts w:ascii="Neirizi" w:hAnsi="Neirizi" w:cs="Neirizi"/>
          <w:spacing w:val="14"/>
          <w:sz w:val="24"/>
          <w:szCs w:val="24"/>
          <w:lang w:bidi="fa-IR"/>
        </w:rPr>
      </w:pPr>
      <w:r>
        <w:rPr>
          <w:rFonts w:ascii="Neirizi" w:hAnsi="Neirizi" w:cs="Neirizi"/>
          <w:spacing w:val="14"/>
          <w:sz w:val="24"/>
          <w:szCs w:val="24"/>
          <w:rtl/>
          <w:lang w:bidi="fa-IR"/>
        </w:rPr>
        <w:t xml:space="preserve">3 </w:t>
      </w:r>
      <w:r>
        <w:rPr>
          <w:rFonts w:ascii="Neirizi" w:hAnsi="Neirizi" w:cs="Neirizi"/>
          <w:sz w:val="24"/>
          <w:szCs w:val="24"/>
          <w:rtl/>
          <w:lang w:bidi="fa-IR"/>
        </w:rPr>
        <w:t>ـــ</w:t>
      </w:r>
      <w:r>
        <w:rPr>
          <w:rFonts w:ascii="Neirizi" w:hAnsi="Neirizi" w:cs="Neirizi"/>
          <w:spacing w:val="14"/>
          <w:sz w:val="24"/>
          <w:szCs w:val="24"/>
          <w:rtl/>
          <w:lang w:bidi="fa-IR"/>
        </w:rPr>
        <w:t xml:space="preserve"> الاسم المفرد أو الجمع المعرّف باللّام</w:t>
      </w:r>
    </w:p>
    <w:p w14:paraId="76B5FF55" w14:textId="77777777" w:rsidR="004B7981" w:rsidRDefault="004B7981" w:rsidP="004B7981">
      <w:pPr>
        <w:widowControl w:val="0"/>
        <w:bidi/>
        <w:spacing w:after="0"/>
        <w:ind w:firstLine="284"/>
        <w:jc w:val="both"/>
        <w:rPr>
          <w:rFonts w:cs="Abz-2 (Badr)"/>
          <w:sz w:val="28"/>
          <w:szCs w:val="28"/>
          <w:rtl/>
          <w:lang w:bidi="fa-IR"/>
        </w:rPr>
      </w:pPr>
      <w:r>
        <w:rPr>
          <w:rFonts w:cs="Abz-2 (Badr)" w:hint="cs"/>
          <w:sz w:val="28"/>
          <w:szCs w:val="28"/>
          <w:rtl/>
        </w:rPr>
        <w:t>إنّ الاسم المفرد المحلّى باللام إذا كانت «اللام» فيه للاستغراق، أفاد العموم، لأنّ هذا اللام موضوعة للدلالة على شمول الجنس لجميع أفراده؛ فلذا من علاماته إمکان إحلال لفظ «كلّ» محلّها، كما في قولنا: «أكرم العالم»، أي «أكرم كلّ عالم».</w:t>
      </w:r>
    </w:p>
    <w:p w14:paraId="3F1155AB" w14:textId="77777777" w:rsidR="004B7981" w:rsidRDefault="004B7981" w:rsidP="004B7981">
      <w:pPr>
        <w:widowControl w:val="0"/>
        <w:bidi/>
        <w:spacing w:after="0"/>
        <w:ind w:firstLine="284"/>
        <w:jc w:val="both"/>
        <w:rPr>
          <w:rFonts w:cs="Abz-2 (Badr)"/>
          <w:sz w:val="28"/>
          <w:szCs w:val="28"/>
        </w:rPr>
      </w:pPr>
      <w:r>
        <w:rPr>
          <w:rFonts w:cs="Abz-2 (Badr)" w:hint="cs"/>
          <w:sz w:val="28"/>
          <w:szCs w:val="28"/>
          <w:rtl/>
        </w:rPr>
        <w:t xml:space="preserve">ويستفاد كون اللام للاستغراق من قرائن؛ كصلاحيّة الحكم للشمول لجميع أفراد الجنس، كما في قوله تعالى: </w:t>
      </w:r>
      <w:r>
        <w:rPr>
          <w:rFonts w:cs="2  Mitra" w:hint="cs"/>
          <w:sz w:val="28"/>
          <w:szCs w:val="28"/>
          <w:rtl/>
          <w:lang w:bidi="fa-IR"/>
        </w:rPr>
        <w:t>«</w:t>
      </w:r>
      <w:r>
        <w:rPr>
          <w:rFonts w:cs="QuranTaha" w:hint="cs"/>
          <w:sz w:val="26"/>
          <w:szCs w:val="26"/>
          <w:rtl/>
          <w:lang w:bidi="fa-IR"/>
        </w:rPr>
        <w:t>خُلِقَ الإنْسَانُ ضَعِيفاً</w:t>
      </w:r>
      <w:r>
        <w:rPr>
          <w:rFonts w:cs="2  Mitra" w:hint="cs"/>
          <w:sz w:val="28"/>
          <w:szCs w:val="28"/>
          <w:rtl/>
          <w:lang w:bidi="fa-IR"/>
        </w:rPr>
        <w:t>»</w:t>
      </w:r>
      <w:r>
        <w:rPr>
          <w:rStyle w:val="FootnoteReference"/>
          <w:rFonts w:cs="Abz-2 (Badr)"/>
          <w:sz w:val="28"/>
          <w:szCs w:val="28"/>
          <w:rtl/>
        </w:rPr>
        <w:footnoteReference w:id="5"/>
      </w:r>
      <w:r>
        <w:rPr>
          <w:rFonts w:cs="2  Mitra" w:hint="cs"/>
          <w:sz w:val="28"/>
          <w:szCs w:val="28"/>
          <w:rtl/>
        </w:rPr>
        <w:t xml:space="preserve">، </w:t>
      </w:r>
      <w:r>
        <w:rPr>
          <w:rFonts w:cs="Abz-2 (Badr)" w:hint="cs"/>
          <w:sz w:val="28"/>
          <w:szCs w:val="28"/>
          <w:rtl/>
        </w:rPr>
        <w:t>أو من مناسبة الحكم للموضوع، كقوله: «اجتنب عن الخمر»، أو من حمل الأوصاف الذاتيّة على الموضوع، كقولهم: «الإنسان حيوان ناطق».</w:t>
      </w:r>
    </w:p>
    <w:p w14:paraId="17104948" w14:textId="77777777" w:rsidR="004B7981" w:rsidRDefault="004B7981" w:rsidP="004B7981">
      <w:pPr>
        <w:widowControl w:val="0"/>
        <w:bidi/>
        <w:spacing w:after="0"/>
        <w:ind w:firstLine="284"/>
        <w:jc w:val="both"/>
        <w:rPr>
          <w:rFonts w:cs="Abz-2 (Badr)" w:hint="cs"/>
          <w:sz w:val="28"/>
          <w:szCs w:val="28"/>
          <w:rtl/>
        </w:rPr>
      </w:pPr>
      <w:r>
        <w:rPr>
          <w:rFonts w:cs="Abz-2 (Badr)" w:hint="cs"/>
          <w:sz w:val="28"/>
          <w:szCs w:val="28"/>
          <w:rtl/>
        </w:rPr>
        <w:t>وينبغي التنبّه إلى أنّ لام الاستغراق تعدّ من أقسام «لام الجنس»، وتقابلها «لام بيان الحقيقة». والفرق بينهما أنّ لام بيان الحقيقة يسند فيها الحكم إلى نفس الطبيعة بما هي هي، من دون لحاظ خصوصيّات الأفراد ودخولها في فعليّة الحكم، بخلاف لام الاستغراق التي تدلّ على شمول الحكم لجميع أفراد تلك الطبيعة.</w:t>
      </w:r>
    </w:p>
    <w:p w14:paraId="66D7FF8F" w14:textId="77777777" w:rsidR="004B7981" w:rsidRDefault="004B7981" w:rsidP="004B7981">
      <w:pPr>
        <w:widowControl w:val="0"/>
        <w:bidi/>
        <w:spacing w:after="0"/>
        <w:ind w:firstLine="284"/>
        <w:jc w:val="both"/>
        <w:rPr>
          <w:rFonts w:cs="Abz-2 (Badr)" w:hint="cs"/>
          <w:sz w:val="28"/>
          <w:szCs w:val="28"/>
          <w:rtl/>
        </w:rPr>
      </w:pPr>
      <w:r>
        <w:rPr>
          <w:rFonts w:cs="Abz-2 (Badr)" w:hint="cs"/>
          <w:sz w:val="28"/>
          <w:szCs w:val="28"/>
          <w:rtl/>
        </w:rPr>
        <w:t>وبعبارة أُخرى: إنّ هذا اللام إنّما يدلّ على أنّ الطبيعة بحكم ذاتها صالحة لجريان الحكم عليها، وإن كان تحقّق ذلك الحكم في الأفراد مشروطاً بتوفّر الشروط وانتفاء الموانع؛ فمثلاً في قولنا: «الإنسان أشرف المخلوقات» المراد أنّ طبيعة الإنسان تقتضي أن يكون أشرف المخلوقات، لا أنّ جميع أفراد الإنسان متّصفون فعلاً بهذه الشرافة، لأنّ فعليّة هذا الحكم في خصوص الأفراد تبتني على تحقّق الشروط وارتفاع الموانع.</w:t>
      </w:r>
    </w:p>
    <w:p w14:paraId="0773F7D4" w14:textId="77777777" w:rsidR="004B7981" w:rsidRDefault="004B7981" w:rsidP="004B7981">
      <w:pPr>
        <w:widowControl w:val="0"/>
        <w:bidi/>
        <w:spacing w:after="0"/>
        <w:ind w:firstLine="284"/>
        <w:jc w:val="both"/>
        <w:rPr>
          <w:rFonts w:cs="Abz-2 (Badr)"/>
          <w:sz w:val="28"/>
          <w:szCs w:val="28"/>
        </w:rPr>
      </w:pPr>
      <w:r>
        <w:rPr>
          <w:rFonts w:cs="Abz-2 (Badr)" w:hint="cs"/>
          <w:sz w:val="28"/>
          <w:szCs w:val="28"/>
          <w:rtl/>
        </w:rPr>
        <w:t>وأمّا لام الاستغراق، فإنّ الحكم فيه يسند إلى الطبيعة مع لحاظ كون جميع أفرادها واجدين للشروط وخالين من الموانع، فيثبت الحكم لكلّ فرد من أفراد الطبيعة على نحو الفعليّة. لذلك يكون الحكم المترتّب على الاسم المحلّى بهذا اللام ثابتاً في جميع أفراد الطبيعة فعلاً.</w:t>
      </w:r>
    </w:p>
    <w:p w14:paraId="06F7428E" w14:textId="77777777" w:rsidR="004B7981" w:rsidRDefault="004B7981" w:rsidP="004B7981">
      <w:pPr>
        <w:widowControl w:val="0"/>
        <w:bidi/>
        <w:spacing w:after="0"/>
        <w:ind w:firstLine="284"/>
        <w:jc w:val="both"/>
        <w:rPr>
          <w:rFonts w:ascii="Amiri" w:hAnsi="Amiri" w:cs="Abz-2 (Badr)" w:hint="cs"/>
          <w:spacing w:val="-4"/>
          <w:sz w:val="28"/>
          <w:szCs w:val="28"/>
          <w:rtl/>
          <w:lang w:bidi="fa-IR"/>
        </w:rPr>
      </w:pPr>
      <w:r>
        <w:rPr>
          <w:rFonts w:ascii="Amiri" w:hAnsi="Amiri" w:cs="Abz-2 (Badr)" w:hint="cs"/>
          <w:spacing w:val="-4"/>
          <w:sz w:val="28"/>
          <w:szCs w:val="28"/>
          <w:rtl/>
        </w:rPr>
        <w:lastRenderedPageBreak/>
        <w:t>ونوكل استكمال البحث إلى الجلسة القادمة إن شاء الله تعالى.</w:t>
      </w:r>
    </w:p>
    <w:p w14:paraId="7D9979DE" w14:textId="26D41A3F" w:rsidR="001B24FC" w:rsidRPr="004B7981" w:rsidRDefault="001B24FC" w:rsidP="004B7981">
      <w:pPr>
        <w:rPr>
          <w:rtl/>
        </w:rPr>
      </w:pPr>
    </w:p>
    <w:sectPr w:rsidR="001B24FC" w:rsidRPr="004B7981"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B63CD" w14:textId="77777777" w:rsidR="0021370B" w:rsidRDefault="0021370B" w:rsidP="00C336C5">
      <w:pPr>
        <w:spacing w:after="0" w:line="240" w:lineRule="auto"/>
      </w:pPr>
      <w:r>
        <w:separator/>
      </w:r>
    </w:p>
  </w:endnote>
  <w:endnote w:type="continuationSeparator" w:id="0">
    <w:p w14:paraId="2DE23A89" w14:textId="77777777" w:rsidR="0021370B" w:rsidRDefault="0021370B" w:rsidP="00C336C5">
      <w:pPr>
        <w:spacing w:after="0" w:line="240" w:lineRule="auto"/>
      </w:pPr>
      <w:r>
        <w:continuationSeparator/>
      </w:r>
    </w:p>
  </w:endnote>
  <w:endnote w:type="continuationNotice" w:id="1">
    <w:p w14:paraId="37986D55" w14:textId="77777777" w:rsidR="0021370B" w:rsidRDefault="002137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Neirizi">
    <w:panose1 w:val="02000503000000020003"/>
    <w:charset w:val="00"/>
    <w:family w:val="auto"/>
    <w:pitch w:val="variable"/>
    <w:sig w:usb0="61002A87" w:usb1="80000000" w:usb2="00000008" w:usb3="00000000" w:csb0="000101FF" w:csb1="00000000"/>
  </w:font>
  <w:font w:name="Amiri">
    <w:panose1 w:val="00000500000000000000"/>
    <w:charset w:val="00"/>
    <w:family w:val="auto"/>
    <w:pitch w:val="variable"/>
    <w:sig w:usb0="A000206F" w:usb1="82002043" w:usb2="00000008" w:usb3="00000000" w:csb0="000000D3"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566EC" w14:textId="77777777" w:rsidR="000425AB" w:rsidRDefault="000425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7AB73" w14:textId="77777777" w:rsidR="000425AB" w:rsidRDefault="00042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85AA8" w14:textId="77777777" w:rsidR="0021370B" w:rsidRDefault="0021370B" w:rsidP="00C336C5">
      <w:pPr>
        <w:bidi/>
        <w:spacing w:after="0" w:line="240" w:lineRule="auto"/>
      </w:pPr>
      <w:r>
        <w:separator/>
      </w:r>
    </w:p>
  </w:footnote>
  <w:footnote w:type="continuationSeparator" w:id="0">
    <w:p w14:paraId="0DEC053E" w14:textId="77777777" w:rsidR="0021370B" w:rsidRDefault="0021370B" w:rsidP="00C336C5">
      <w:pPr>
        <w:spacing w:after="0" w:line="240" w:lineRule="auto"/>
      </w:pPr>
      <w:r>
        <w:continuationSeparator/>
      </w:r>
    </w:p>
  </w:footnote>
  <w:footnote w:type="continuationNotice" w:id="1">
    <w:p w14:paraId="205CF20D" w14:textId="77777777" w:rsidR="0021370B" w:rsidRDefault="0021370B">
      <w:pPr>
        <w:spacing w:after="0" w:line="240" w:lineRule="auto"/>
      </w:pPr>
    </w:p>
  </w:footnote>
  <w:footnote w:id="2">
    <w:p w14:paraId="56C10073" w14:textId="77777777" w:rsidR="004B7981" w:rsidRDefault="004B7981" w:rsidP="004B7981">
      <w:pPr>
        <w:pStyle w:val="FootnoteText"/>
        <w:bidi/>
        <w:jc w:val="left"/>
        <w:rPr>
          <w:rFonts w:cs="Abz-2 (Badr)" w:hint="cs"/>
          <w:rtl/>
          <w:lang w:bidi="fa-IR"/>
        </w:rPr>
      </w:pPr>
      <w:r>
        <w:rPr>
          <w:rFonts w:cs="Abz-2 (Badr)"/>
          <w:lang w:bidi="fa-IR"/>
        </w:rPr>
        <w:footnoteRef/>
      </w:r>
      <w:r>
        <w:rPr>
          <w:rFonts w:cs="Abz-2 (Badr)" w:hint="cs"/>
          <w:rtl/>
          <w:lang w:bidi="fa-IR"/>
        </w:rPr>
        <w:t xml:space="preserve"> ـ راجع: اجود التقريرات،ج1،ص451.</w:t>
      </w:r>
    </w:p>
  </w:footnote>
  <w:footnote w:id="3">
    <w:p w14:paraId="453B24D4" w14:textId="77777777" w:rsidR="004B7981" w:rsidRDefault="004B7981" w:rsidP="004B7981">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النساء(4):28.</w:t>
      </w:r>
    </w:p>
  </w:footnote>
  <w:footnote w:id="4">
    <w:p w14:paraId="0900A5D2" w14:textId="77777777" w:rsidR="004B7981" w:rsidRDefault="004B7981" w:rsidP="004B7981">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ـ راجع: اجود التقريرات،ج1،ص451.</w:t>
      </w:r>
    </w:p>
  </w:footnote>
  <w:footnote w:id="5">
    <w:p w14:paraId="78E623BB" w14:textId="77777777" w:rsidR="004B7981" w:rsidRDefault="004B7981" w:rsidP="004B7981">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النساء(4):28.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30800" w14:textId="77777777" w:rsidR="000425AB" w:rsidRDefault="000425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7C31B625"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CB67E9">
                            <w:rPr>
                              <w:rFonts w:cs="B Mehr"/>
                              <w:lang w:bidi="fa-IR"/>
                            </w:rPr>
                            <w:t xml:space="preserve"> </w:t>
                          </w:r>
                          <w:r w:rsidR="003F4E57">
                            <w:rPr>
                              <w:rFonts w:cs="B Mehr" w:hint="cs"/>
                              <w:rtl/>
                              <w:lang w:bidi="fa-IR"/>
                            </w:rPr>
                            <w:t xml:space="preserve"> </w:t>
                          </w:r>
                          <w:r w:rsidR="004B7981">
                            <w:rPr>
                              <w:rFonts w:cs="B Mehr" w:hint="cs"/>
                              <w:rtl/>
                              <w:lang w:bidi="fa-IR"/>
                            </w:rPr>
                            <w:t>یک</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4B7981">
                            <w:rPr>
                              <w:rFonts w:cs="B Mehr" w:hint="cs"/>
                              <w:rtl/>
                              <w:lang w:bidi="fa-IR"/>
                            </w:rPr>
                            <w:t>4</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7C31B625"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CB67E9">
                      <w:rPr>
                        <w:rFonts w:cs="B Mehr"/>
                        <w:lang w:bidi="fa-IR"/>
                      </w:rPr>
                      <w:t xml:space="preserve"> </w:t>
                    </w:r>
                    <w:r w:rsidR="003F4E57">
                      <w:rPr>
                        <w:rFonts w:cs="B Mehr" w:hint="cs"/>
                        <w:rtl/>
                        <w:lang w:bidi="fa-IR"/>
                      </w:rPr>
                      <w:t xml:space="preserve"> </w:t>
                    </w:r>
                    <w:r w:rsidR="004B7981">
                      <w:rPr>
                        <w:rFonts w:cs="B Mehr" w:hint="cs"/>
                        <w:rtl/>
                        <w:lang w:bidi="fa-IR"/>
                      </w:rPr>
                      <w:t>یک</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4B7981">
                      <w:rPr>
                        <w:rFonts w:cs="B Mehr" w:hint="cs"/>
                        <w:rtl/>
                        <w:lang w:bidi="fa-IR"/>
                      </w:rPr>
                      <w:t>4</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8983A" w14:textId="77777777" w:rsidR="000425AB" w:rsidRDefault="000425A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70B"/>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3D82"/>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B7981"/>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472C"/>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88718046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85190284">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4103</TotalTime>
  <Pages>1</Pages>
  <Words>1157</Words>
  <Characters>6598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1230</cp:revision>
  <cp:lastPrinted>2025-04-15T09:36:00Z</cp:lastPrinted>
  <dcterms:created xsi:type="dcterms:W3CDTF">2022-10-16T08:36:00Z</dcterms:created>
  <dcterms:modified xsi:type="dcterms:W3CDTF">2025-10-26T08:59:00Z</dcterms:modified>
</cp:coreProperties>
</file>