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C4900" w14:textId="77777777" w:rsidR="0081472C" w:rsidRDefault="0081472C" w:rsidP="0081472C">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44B96270" w14:textId="77777777" w:rsidR="0081472C" w:rsidRDefault="0081472C" w:rsidP="0081472C">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17022993" w14:textId="77777777" w:rsidR="0081472C" w:rsidRDefault="0081472C" w:rsidP="0081472C">
      <w:pPr>
        <w:widowControl w:val="0"/>
        <w:bidi/>
        <w:spacing w:after="240"/>
        <w:jc w:val="center"/>
        <w:rPr>
          <w:rFonts w:cs="B Mitra" w:hint="cs"/>
          <w:b/>
          <w:bCs/>
          <w:sz w:val="32"/>
          <w:szCs w:val="32"/>
          <w:rtl/>
          <w:lang w:bidi="fa-IR"/>
        </w:rPr>
      </w:pPr>
      <w:r>
        <w:rPr>
          <w:rFonts w:cs="B Mitra" w:hint="cs"/>
          <w:b/>
          <w:bCs/>
          <w:sz w:val="32"/>
          <w:szCs w:val="32"/>
          <w:rtl/>
          <w:lang w:bidi="fa-IR"/>
        </w:rPr>
        <w:t>جلسه 958</w:t>
      </w:r>
    </w:p>
    <w:bookmarkEnd w:id="0"/>
    <w:p w14:paraId="4901996F" w14:textId="77777777" w:rsidR="0081472C" w:rsidRDefault="0081472C" w:rsidP="0081472C">
      <w:pPr>
        <w:widowControl w:val="0"/>
        <w:tabs>
          <w:tab w:val="num" w:pos="1440"/>
        </w:tabs>
        <w:bidi/>
        <w:spacing w:before="240"/>
        <w:ind w:firstLine="289"/>
        <w:jc w:val="both"/>
        <w:rPr>
          <w:rFonts w:cs="2  Mitra" w:hint="cs"/>
          <w:sz w:val="28"/>
          <w:szCs w:val="28"/>
          <w:rtl/>
        </w:rPr>
      </w:pPr>
    </w:p>
    <w:p w14:paraId="5D681788" w14:textId="77777777" w:rsidR="0081472C" w:rsidRDefault="0081472C" w:rsidP="0081472C">
      <w:pPr>
        <w:widowControl w:val="0"/>
        <w:bidi/>
        <w:spacing w:before="240" w:line="252" w:lineRule="auto"/>
        <w:ind w:firstLine="289"/>
        <w:jc w:val="both"/>
        <w:rPr>
          <w:rFonts w:cs="2  Mitra" w:hint="cs"/>
          <w:sz w:val="28"/>
          <w:szCs w:val="28"/>
          <w:rtl/>
          <w:lang w:bidi="fa-IR"/>
        </w:rPr>
      </w:pPr>
      <w:r>
        <w:rPr>
          <w:rFonts w:cs="2  Mitra" w:hint="cs"/>
          <w:sz w:val="28"/>
          <w:szCs w:val="28"/>
          <w:rtl/>
          <w:lang w:bidi="fa-IR"/>
        </w:rPr>
        <w:t>جلسه قبل گفته شد که در صورتی که لفظی وضعاً دلالت بر عموم و استيعاب آحاد افراد مفهوم داشته باشد، لزومی نيست که برای نفی خصوصيت محتمل در موضوع حکم، به اطلاق تمسّک شود، زيرا در مرحله دلالت تصوريه، اين شمول موجود بوده و موضوع، شامل جميع افراد ولو افراد فاقد خصوصيت محتمله می</w:t>
      </w:r>
      <w:r>
        <w:rPr>
          <w:rFonts w:cs="2  Mitra" w:hint="cs"/>
          <w:sz w:val="28"/>
          <w:szCs w:val="28"/>
          <w:rtl/>
          <w:lang w:bidi="fa-IR"/>
        </w:rPr>
        <w:softHyphen/>
        <w:t>گردد و با وجود شمول وضعی، وجهی برای شک در مرحله دلالت تصديقی باقی نمی</w:t>
      </w:r>
      <w:r>
        <w:rPr>
          <w:rFonts w:cs="2  Mitra" w:hint="cs"/>
          <w:sz w:val="28"/>
          <w:szCs w:val="28"/>
          <w:rtl/>
          <w:lang w:bidi="fa-IR"/>
        </w:rPr>
        <w:softHyphen/>
        <w:t>ماند تا برای رفع آن به اطلاق تمسک گردد.</w:t>
      </w:r>
    </w:p>
    <w:p w14:paraId="7D5B9EEF" w14:textId="77777777" w:rsidR="0081472C" w:rsidRDefault="0081472C" w:rsidP="0081472C">
      <w:pPr>
        <w:widowControl w:val="0"/>
        <w:bidi/>
        <w:spacing w:before="240"/>
        <w:ind w:firstLine="289"/>
        <w:jc w:val="both"/>
        <w:rPr>
          <w:rFonts w:cs="2  Mitra" w:hint="cs"/>
          <w:sz w:val="28"/>
          <w:szCs w:val="28"/>
          <w:rtl/>
          <w:lang w:bidi="fa-IR"/>
        </w:rPr>
      </w:pPr>
      <w:r>
        <w:rPr>
          <w:rFonts w:cs="2  Mitra" w:hint="cs"/>
          <w:sz w:val="28"/>
          <w:szCs w:val="28"/>
          <w:rtl/>
          <w:lang w:bidi="fa-IR"/>
        </w:rPr>
        <w:t>اما دليلی که مرحوم آخوند برای مدعای خود اقامه کرده</w:t>
      </w:r>
      <w:r>
        <w:rPr>
          <w:rFonts w:cs="2  Mitra" w:hint="cs"/>
          <w:sz w:val="28"/>
          <w:szCs w:val="28"/>
          <w:rtl/>
          <w:lang w:bidi="fa-IR"/>
        </w:rPr>
        <w:softHyphen/>
        <w:t>اند مبنی بر اين که ورود «کل» بر مدخولی که دارای قيود است ـ مثل: «</w:t>
      </w:r>
      <w:r>
        <w:rPr>
          <w:rFonts w:cs="Abz-2 (Badr)" w:hint="cs"/>
          <w:sz w:val="28"/>
          <w:szCs w:val="28"/>
          <w:rtl/>
          <w:lang w:bidi="fa-IR"/>
        </w:rPr>
        <w:t>کلّ عالم عادل</w:t>
      </w:r>
      <w:r>
        <w:rPr>
          <w:rFonts w:cs="2  Mitra" w:hint="cs"/>
          <w:sz w:val="28"/>
          <w:szCs w:val="28"/>
          <w:rtl/>
          <w:lang w:bidi="fa-IR"/>
        </w:rPr>
        <w:t>» ـ منافاتی با عموم آن ندارد و اين مطلب دلالت بر اين می</w:t>
      </w:r>
      <w:r>
        <w:rPr>
          <w:rFonts w:cs="2  Mitra" w:hint="cs"/>
          <w:sz w:val="28"/>
          <w:szCs w:val="28"/>
          <w:rtl/>
          <w:lang w:bidi="fa-IR"/>
        </w:rPr>
        <w:softHyphen/>
        <w:t>کند که عمومی که توسط آن افاده می</w:t>
      </w:r>
      <w:r>
        <w:rPr>
          <w:rFonts w:cs="2  Mitra" w:hint="cs"/>
          <w:sz w:val="28"/>
          <w:szCs w:val="28"/>
          <w:rtl/>
          <w:lang w:bidi="fa-IR"/>
        </w:rPr>
        <w:softHyphen/>
        <w:t>شود، مربوط به آن چيزی است که از مدخول آن اراده شده است</w:t>
      </w:r>
      <w:r>
        <w:rPr>
          <w:rStyle w:val="FootnoteReference"/>
          <w:rFonts w:cs="2  Mitra"/>
          <w:sz w:val="28"/>
          <w:szCs w:val="28"/>
          <w:rtl/>
        </w:rPr>
        <w:footnoteReference w:id="2"/>
      </w:r>
      <w:r>
        <w:rPr>
          <w:rFonts w:cs="2  Mitra" w:hint="cs"/>
          <w:sz w:val="28"/>
          <w:szCs w:val="28"/>
          <w:rtl/>
          <w:lang w:bidi="fa-IR"/>
        </w:rPr>
        <w:t>، پاسخ آن اين است که در مواردی که مدخول «کل»، مقيّد به قيد است، اين امر سبب می</w:t>
      </w:r>
      <w:r>
        <w:rPr>
          <w:rFonts w:cs="2  Mitra" w:hint="cs"/>
          <w:sz w:val="28"/>
          <w:szCs w:val="28"/>
          <w:rtl/>
          <w:lang w:bidi="fa-IR"/>
        </w:rPr>
        <w:softHyphen/>
        <w:t>شود که در مرحله دلالت تصوّريّه، آن قيود لحاظ شوند و در نتيجه وقتی که کلّ بر سر آن وارد می</w:t>
      </w:r>
      <w:r>
        <w:rPr>
          <w:rFonts w:cs="2  Mitra" w:hint="cs"/>
          <w:sz w:val="28"/>
          <w:szCs w:val="28"/>
          <w:rtl/>
          <w:lang w:bidi="fa-IR"/>
        </w:rPr>
        <w:softHyphen/>
        <w:t>شود، عموم مدخول خود را به نسبت به افرادی که واجد قيد هستند، افاده می</w:t>
      </w:r>
      <w:r>
        <w:rPr>
          <w:rFonts w:cs="2  Mitra" w:hint="cs"/>
          <w:sz w:val="28"/>
          <w:szCs w:val="28"/>
          <w:rtl/>
          <w:lang w:bidi="fa-IR"/>
        </w:rPr>
        <w:softHyphen/>
        <w:t>کند، و اين مطلب ارتباطی به معلّق شدن افاده عموم توسط «کل» بر تماميت مقدّمات حکمت در مرحله دلالت تصوریه ندارد.</w:t>
      </w:r>
    </w:p>
    <w:p w14:paraId="3EED318F" w14:textId="77777777" w:rsidR="0081472C" w:rsidRDefault="0081472C" w:rsidP="0081472C">
      <w:pPr>
        <w:widowControl w:val="0"/>
        <w:bidi/>
        <w:spacing w:before="240"/>
        <w:ind w:firstLine="289"/>
        <w:jc w:val="both"/>
        <w:rPr>
          <w:rFonts w:cs="2  Mitra" w:hint="cs"/>
          <w:sz w:val="28"/>
          <w:szCs w:val="28"/>
          <w:rtl/>
          <w:lang w:bidi="fa-IR"/>
        </w:rPr>
      </w:pPr>
      <w:r>
        <w:rPr>
          <w:rFonts w:cs="2  Mitra" w:hint="cs"/>
          <w:sz w:val="28"/>
          <w:szCs w:val="28"/>
          <w:rtl/>
          <w:lang w:bidi="fa-IR"/>
        </w:rPr>
        <w:t>در واقع به نظر می</w:t>
      </w:r>
      <w:r>
        <w:rPr>
          <w:rFonts w:cs="2  Mitra" w:hint="cs"/>
          <w:sz w:val="28"/>
          <w:szCs w:val="28"/>
          <w:rtl/>
          <w:lang w:bidi="fa-IR"/>
        </w:rPr>
        <w:softHyphen/>
        <w:t>رسد که در اين استدلال مرحوم آخوند، بين اطلاق به معنای آنچه که منوط به تماميت مقدمات حکمت و مربوط به مرحله دلالت تصدیقیه ثانیه است و اطلاق به معنای آنچه که مربوط به مرحله دلالت تصوریه بوده و مراد از آن ذکر لفظ بدون آوردن هيچ قیدی به همراه آن است، خلط صورت گرفته است.</w:t>
      </w:r>
    </w:p>
    <w:p w14:paraId="2C9302CF" w14:textId="77777777" w:rsidR="0081472C" w:rsidRDefault="0081472C" w:rsidP="0081472C">
      <w:pPr>
        <w:widowControl w:val="0"/>
        <w:bidi/>
        <w:spacing w:before="240"/>
        <w:ind w:firstLine="289"/>
        <w:jc w:val="both"/>
        <w:rPr>
          <w:rFonts w:cs="2  Mitra" w:hint="cs"/>
          <w:sz w:val="28"/>
          <w:szCs w:val="28"/>
          <w:rtl/>
          <w:lang w:bidi="fa-IR"/>
        </w:rPr>
      </w:pPr>
      <w:r>
        <w:rPr>
          <w:rFonts w:cs="2  Mitra" w:hint="cs"/>
          <w:sz w:val="28"/>
          <w:szCs w:val="28"/>
          <w:rtl/>
        </w:rPr>
        <w:t xml:space="preserve">بنابر این حق با کسانی است که بر این باورند که پس از ورود لفظ «کلّ» بر مدخول خود، دیگر مجالی برای تمسّک به مقدّمات حکمت برای اثبات شمول مدخول «کلّ» نسبت به برخی از افراد خود باقی نمی‌ماند؛ زیرا ظهور «کلّ» در استیعاب و تعمیم، وظیفه‌ی بیان را در مرحله‌ی دلالت تصوّری کاملاً ایفا کرده است و پس از آن، نقصی در بیان باقی نمی‌ماند تا برای </w:t>
      </w:r>
      <w:r>
        <w:rPr>
          <w:rFonts w:cs="2  Mitra" w:hint="cs"/>
          <w:sz w:val="28"/>
          <w:szCs w:val="28"/>
          <w:rtl/>
        </w:rPr>
        <w:lastRenderedPageBreak/>
        <w:t>رفع آن به اطلاق رجوع شود</w:t>
      </w:r>
      <w:r>
        <w:rPr>
          <w:rFonts w:cs="2  Mitra" w:hint="cs"/>
          <w:sz w:val="28"/>
          <w:szCs w:val="28"/>
          <w:rtl/>
          <w:lang w:bidi="fa-IR"/>
        </w:rPr>
        <w:t>.</w:t>
      </w:r>
    </w:p>
    <w:p w14:paraId="1EDF7A18" w14:textId="77777777" w:rsidR="0081472C" w:rsidRDefault="0081472C" w:rsidP="0081472C">
      <w:pPr>
        <w:widowControl w:val="0"/>
        <w:bidi/>
        <w:spacing w:before="240"/>
        <w:ind w:firstLine="289"/>
        <w:jc w:val="both"/>
        <w:rPr>
          <w:rFonts w:cs="2  Mitra" w:hint="cs"/>
          <w:sz w:val="28"/>
          <w:szCs w:val="28"/>
          <w:rtl/>
        </w:rPr>
      </w:pPr>
      <w:r>
        <w:rPr>
          <w:rFonts w:cs="2  Mitra" w:hint="cs"/>
          <w:sz w:val="28"/>
          <w:szCs w:val="28"/>
          <w:rtl/>
          <w:lang w:bidi="fa-IR"/>
        </w:rPr>
        <w:t>اما مرحوم آيت الله روحانی در خصوص اين که چه اثری بر اتخاذ قول اول يا دوم مترتب می</w:t>
      </w:r>
      <w:r>
        <w:rPr>
          <w:rFonts w:cs="2  Mitra" w:hint="cs"/>
          <w:sz w:val="28"/>
          <w:szCs w:val="28"/>
          <w:rtl/>
          <w:lang w:bidi="fa-IR"/>
        </w:rPr>
        <w:softHyphen/>
        <w:t>شود، می</w:t>
      </w:r>
      <w:r>
        <w:rPr>
          <w:rFonts w:cs="2  Mitra" w:hint="cs"/>
          <w:sz w:val="28"/>
          <w:szCs w:val="28"/>
          <w:rtl/>
          <w:lang w:bidi="fa-IR"/>
        </w:rPr>
        <w:softHyphen/>
        <w:t xml:space="preserve">فرمايد: </w:t>
      </w:r>
      <w:r>
        <w:rPr>
          <w:rFonts w:cs="2  Mitra" w:hint="cs"/>
          <w:sz w:val="28"/>
          <w:szCs w:val="28"/>
          <w:rtl/>
        </w:rPr>
        <w:t>اگر دلالت عام بر عموم وابسته به اطلاق مدخول آن باشد، در تعارض با مطلق هیچ کدام بر دیگری مقدم نمی‌شود، زيرا هر يک از آن دو صلاحيت اين را دارند که قرينه</w:t>
      </w:r>
      <w:r>
        <w:rPr>
          <w:rFonts w:cs="2  Mitra" w:hint="cs"/>
          <w:sz w:val="28"/>
          <w:szCs w:val="28"/>
          <w:rtl/>
        </w:rPr>
        <w:softHyphen/>
        <w:t>ای بر خلاف ديگری باشند. اما اگر لفظ «کل» خود بر عموم دلالت کند، در مقام تعارض، عام بر مطلق مقدم خواهد بود، زيرا دلالت عام منجّز است ولی دلالت مطلق تعلیقی و وابسته به نبود قرینه است.</w:t>
      </w:r>
      <w:r>
        <w:rPr>
          <w:rStyle w:val="FootnoteReference"/>
          <w:rFonts w:cs="2  Mitra"/>
          <w:sz w:val="28"/>
          <w:szCs w:val="28"/>
          <w:rtl/>
        </w:rPr>
        <w:footnoteReference w:id="3"/>
      </w:r>
    </w:p>
    <w:p w14:paraId="7E5BBBB6" w14:textId="77777777" w:rsidR="0081472C" w:rsidRDefault="0081472C" w:rsidP="0081472C">
      <w:pPr>
        <w:widowControl w:val="0"/>
        <w:bidi/>
        <w:spacing w:before="240"/>
        <w:ind w:firstLine="289"/>
        <w:jc w:val="both"/>
        <w:rPr>
          <w:rFonts w:cs="2  Mitra" w:hint="cs"/>
          <w:sz w:val="28"/>
          <w:szCs w:val="28"/>
          <w:rtl/>
          <w:lang w:bidi="fa-IR"/>
        </w:rPr>
      </w:pPr>
      <w:r>
        <w:rPr>
          <w:rFonts w:cs="2  Mitra" w:hint="cs"/>
          <w:sz w:val="28"/>
          <w:szCs w:val="28"/>
          <w:rtl/>
        </w:rPr>
        <w:t>حق ن</w:t>
      </w:r>
      <w:r>
        <w:rPr>
          <w:rFonts w:cs="2  Mitra" w:hint="cs"/>
          <w:sz w:val="28"/>
          <w:szCs w:val="28"/>
          <w:rtl/>
          <w:lang w:bidi="fa-IR"/>
        </w:rPr>
        <w:t>يز در اين مدعا با ايشان است و توضيح آن در جلسه آينده خواهد آمد ان شاء الله.</w:t>
      </w:r>
    </w:p>
    <w:p w14:paraId="203D42E2" w14:textId="77777777" w:rsidR="0081472C" w:rsidRDefault="0081472C" w:rsidP="0081472C">
      <w:pPr>
        <w:rPr>
          <w:rFonts w:cs="2  Mitra" w:hint="cs"/>
          <w:sz w:val="28"/>
          <w:szCs w:val="28"/>
          <w:rtl/>
          <w:lang w:bidi="fa-IR"/>
        </w:rPr>
      </w:pPr>
      <w:r>
        <w:rPr>
          <w:rFonts w:cs="2  Mitra" w:hint="cs"/>
          <w:sz w:val="28"/>
          <w:szCs w:val="28"/>
          <w:rtl/>
          <w:lang w:bidi="fa-IR"/>
        </w:rPr>
        <w:br w:type="page"/>
      </w:r>
    </w:p>
    <w:p w14:paraId="693BA50D" w14:textId="77777777" w:rsidR="0081472C" w:rsidRDefault="0081472C" w:rsidP="0081472C">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lastRenderedPageBreak/>
        <w:t>كما تقدّم في الجلسة السابقة إذا كان اللفظ يدلّ وضعاً على العموم واستيعاب آحاد أفراد المفهوم، فلا حاجة حينئذٍ إلى التمسّك بالإطلاق لنفي الخصوصيّة المحتملة في موضوع الحكم؛ لأنّ مرحلة الدلالة التصوّريّة قد تضمّنت شمول الموضوع لجميع الأفراد ـ ولو الأفراد الفاقدة لتلك الخصوصيّة ـ ومع ثبوت هذا الشمول الوضعي، لا يبقى مجال للشكّ في مرحلة الدلالة التصديقيّة حتّى يرجع إلى الإطلاق لرفعه.</w:t>
      </w:r>
    </w:p>
    <w:p w14:paraId="3037D278" w14:textId="77777777" w:rsidR="0081472C" w:rsidRDefault="0081472C" w:rsidP="0081472C">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وأمّا ما استدلّ به الآخوند على مدّعاه من أنّ دخول «كلّ» على مدخول مقيّد ـ كقولنا: «كلّ عالم عادل» ـ لا ينافي إفادة العموم وأنّ ذلك يدلّ على أنّ العموم المستفاد منه إنّما يتعلّق بما أُريد من المدخول بعد التقييد</w:t>
      </w:r>
      <w:r>
        <w:rPr>
          <w:rStyle w:val="FootnoteReference"/>
          <w:rFonts w:cs="Abz-2 (Badr)"/>
          <w:sz w:val="28"/>
          <w:szCs w:val="28"/>
          <w:rtl/>
        </w:rPr>
        <w:footnoteReference w:id="4"/>
      </w:r>
      <w:r>
        <w:rPr>
          <w:rFonts w:cs="Abz-2 (Badr)" w:hint="cs"/>
          <w:color w:val="000000" w:themeColor="text1"/>
          <w:sz w:val="28"/>
          <w:szCs w:val="28"/>
          <w:rtl/>
        </w:rPr>
        <w:t>، فجوابه أنّ القيد في مثل هذه الموارد مأخوذ في مرحلة الدلالة التصوّريّة نفسها، فيتشكّل المفهوم المقيّد بعنوانه الخاصّ قبل ورود أداة العموم عليه. فإذا دخلت «كلّ» بعد ذلك، فإنّما تفيد استيعاب أفراد هذا المفهوم المقيّد ـ أي خصوص العلماء العدول ـ لا مطلق العلماء. فلا دلالة في ذلك على توقّف إفادة العموم من «كلّ» على تماميّة مقدّمات الحكمة في المدخول؛ بل إنّ العموم الوضعي ثابت من حين دخول «كلّ» على المفهوم المقيّد، من غير ارتباط بمرحلة الدلالة التصديقيّة ولا بمقدّمات الحكمة أصلاً.</w:t>
      </w:r>
    </w:p>
    <w:p w14:paraId="68920AE6" w14:textId="77777777" w:rsidR="0081472C" w:rsidRDefault="0081472C" w:rsidP="0081472C">
      <w:pPr>
        <w:widowControl w:val="0"/>
        <w:bidi/>
        <w:spacing w:after="0"/>
        <w:ind w:firstLine="284"/>
        <w:jc w:val="both"/>
        <w:rPr>
          <w:rFonts w:cs="Abz-2 (Badr)" w:hint="cs"/>
          <w:color w:val="000000" w:themeColor="text1"/>
          <w:sz w:val="28"/>
          <w:szCs w:val="28"/>
          <w:rtl/>
        </w:rPr>
      </w:pPr>
      <w:r>
        <w:rPr>
          <w:rFonts w:cs="Abz-2 (Badr)" w:hint="cs"/>
          <w:color w:val="000000" w:themeColor="text1"/>
          <w:sz w:val="28"/>
          <w:szCs w:val="28"/>
          <w:rtl/>
        </w:rPr>
        <w:t>ويبدو أنّه قد وقع في هذا الاستدلال خلط بين معنيين للإطلاق؛ فالإطلاق بالمعنى المتوقّف على تماميّة مقدّمات الحكمة ـ وهو من شؤون مرحلة الدلالة التصديقيّة الثانية ـ أمر، والإطلاق بالمعنى المرتبط بمرحلة الدلالة التصوّرية ـ وهو مجرّد ذكر اللفظ من غير تقييده بقيد ـ أمر آخر. فعدم التمييز بين هذين المعنيين هو الذي أوقع الإشكال في محلّ الاستدلال.</w:t>
      </w:r>
    </w:p>
    <w:p w14:paraId="45B91A6E" w14:textId="77777777" w:rsidR="0081472C" w:rsidRDefault="0081472C" w:rsidP="0081472C">
      <w:pPr>
        <w:widowControl w:val="0"/>
        <w:bidi/>
        <w:spacing w:after="0"/>
        <w:ind w:firstLine="284"/>
        <w:jc w:val="both"/>
        <w:rPr>
          <w:rFonts w:cs="Abz-2 (Badr)"/>
          <w:color w:val="000000" w:themeColor="text1"/>
          <w:sz w:val="28"/>
          <w:szCs w:val="28"/>
          <w:lang w:bidi="fa-IR"/>
        </w:rPr>
      </w:pPr>
      <w:r>
        <w:rPr>
          <w:rFonts w:cs="Abz-2 (Badr)" w:hint="cs"/>
          <w:color w:val="000000" w:themeColor="text1"/>
          <w:sz w:val="28"/>
          <w:szCs w:val="28"/>
          <w:rtl/>
        </w:rPr>
        <w:t>وعليه فالحقّ مع من ذهب إلى أنّه بعد دخول لفظ «كلّ» على مدخوله، لا يبقى مجال للتمسّك بمقدّمات الحكمة أصلاً لإثبات شمول مدخول «کلّ» لبعض أفراده، لأنّ ظهور «كلّ» في الاستيعاب والتعميم قد استوفى وظيفة البيان في مرحلة الدلالة التصوّرية، فلا يبقى بعده نقص في البيان حتّى يرجع إلى الإطلاق لرفعه.</w:t>
      </w:r>
    </w:p>
    <w:p w14:paraId="6937D7FB" w14:textId="77777777" w:rsidR="0081472C" w:rsidRDefault="0081472C" w:rsidP="0081472C">
      <w:pPr>
        <w:widowControl w:val="0"/>
        <w:bidi/>
        <w:spacing w:after="0"/>
        <w:ind w:firstLine="284"/>
        <w:jc w:val="both"/>
        <w:rPr>
          <w:rFonts w:ascii="Amiri" w:hAnsi="Amiri" w:cs="Abz-2 (Badr)" w:hint="cs"/>
          <w:spacing w:val="-4"/>
          <w:sz w:val="28"/>
          <w:szCs w:val="28"/>
          <w:rtl/>
        </w:rPr>
      </w:pPr>
      <w:r>
        <w:rPr>
          <w:rFonts w:ascii="Amiri" w:hAnsi="Amiri" w:cs="Abz-2 (Badr)" w:hint="cs"/>
          <w:spacing w:val="-4"/>
          <w:sz w:val="28"/>
          <w:szCs w:val="28"/>
          <w:rtl/>
        </w:rPr>
        <w:t xml:space="preserve">ثمّ إنّ السيّد الروحاني ذكر في بيان الأثر المترتّب على اختيار القول الأوّل أو الثاني أنّه إذا كانت دلالة العامّ على العموم متوقّفة على إطلاق المدخول، لم يتقدّم واحد من العامّ والمطلق على الآخر عند تعارضهما، لأنّ كلّاً منهما صالح لأن يجعل قرينة على خلاف الآخر. أمّا إذا لم تکن دلالة لفظ «كلّ» على العموم مبنيّة علی تماميّة مقدّمات الحکمة في مدخوله، فإنّ العامّ يقدّم </w:t>
      </w:r>
      <w:r>
        <w:rPr>
          <w:rFonts w:ascii="Amiri" w:hAnsi="Amiri" w:cs="Abz-2 (Badr)" w:hint="cs"/>
          <w:spacing w:val="-4"/>
          <w:sz w:val="28"/>
          <w:szCs w:val="28"/>
          <w:rtl/>
        </w:rPr>
        <w:lastRenderedPageBreak/>
        <w:t>عند التعارض على المطلق، إذ دلالة العامّ تنجيزيّة، بخلاف دلالة المطلق، فإنّها تعليقيّة متوقّفة على عدم القرينة.</w:t>
      </w:r>
      <w:r>
        <w:rPr>
          <w:rStyle w:val="FootnoteReference"/>
          <w:rFonts w:cs="Abz-2 (Badr)"/>
          <w:sz w:val="28"/>
          <w:szCs w:val="28"/>
          <w:rtl/>
        </w:rPr>
        <w:footnoteReference w:id="5"/>
      </w:r>
    </w:p>
    <w:p w14:paraId="1E65B936" w14:textId="77777777" w:rsidR="0081472C" w:rsidRDefault="0081472C" w:rsidP="0081472C">
      <w:pPr>
        <w:widowControl w:val="0"/>
        <w:bidi/>
        <w:spacing w:after="0"/>
        <w:ind w:firstLine="284"/>
        <w:jc w:val="both"/>
        <w:rPr>
          <w:rFonts w:ascii="Amiri" w:hAnsi="Amiri" w:cs="Abz-2 (Badr)"/>
          <w:spacing w:val="-4"/>
          <w:sz w:val="28"/>
          <w:szCs w:val="28"/>
        </w:rPr>
      </w:pPr>
      <w:r>
        <w:rPr>
          <w:rFonts w:ascii="Amiri" w:hAnsi="Amiri" w:cs="Abz-2 (Badr)" w:hint="cs"/>
          <w:spacing w:val="-4"/>
          <w:sz w:val="28"/>
          <w:szCs w:val="28"/>
          <w:rtl/>
        </w:rPr>
        <w:t>والحقّ في هذه الدعوى مع السيّد الروحاني، وسيأتي مزيد بيان لذلك في الجلسة القادمة إن شاء الله تعالى.</w:t>
      </w:r>
    </w:p>
    <w:p w14:paraId="7D9979DE" w14:textId="26D41A3F" w:rsidR="001B24FC" w:rsidRPr="0081472C" w:rsidRDefault="001B24FC" w:rsidP="0081472C">
      <w:pPr>
        <w:rPr>
          <w:rtl/>
        </w:rPr>
      </w:pPr>
    </w:p>
    <w:sectPr w:rsidR="001B24FC" w:rsidRPr="0081472C"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AE689" w14:textId="77777777" w:rsidR="00433D82" w:rsidRDefault="00433D82" w:rsidP="00C336C5">
      <w:pPr>
        <w:spacing w:after="0" w:line="240" w:lineRule="auto"/>
      </w:pPr>
      <w:r>
        <w:separator/>
      </w:r>
    </w:p>
  </w:endnote>
  <w:endnote w:type="continuationSeparator" w:id="0">
    <w:p w14:paraId="1056EEA4" w14:textId="77777777" w:rsidR="00433D82" w:rsidRDefault="00433D82" w:rsidP="00C336C5">
      <w:pPr>
        <w:spacing w:after="0" w:line="240" w:lineRule="auto"/>
      </w:pPr>
      <w:r>
        <w:continuationSeparator/>
      </w:r>
    </w:p>
  </w:endnote>
  <w:endnote w:type="continuationNotice" w:id="1">
    <w:p w14:paraId="17424F6C" w14:textId="77777777" w:rsidR="00433D82" w:rsidRDefault="00433D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Amiri">
    <w:panose1 w:val="00000500000000000000"/>
    <w:charset w:val="00"/>
    <w:family w:val="auto"/>
    <w:pitch w:val="variable"/>
    <w:sig w:usb0="A000206F" w:usb1="82002043" w:usb2="00000008" w:usb3="00000000" w:csb0="000000D3"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566EC" w14:textId="77777777" w:rsidR="000425AB" w:rsidRDefault="000425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7AB73" w14:textId="77777777" w:rsidR="000425AB" w:rsidRDefault="000425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97B13" w14:textId="77777777" w:rsidR="00433D82" w:rsidRDefault="00433D82" w:rsidP="00C336C5">
      <w:pPr>
        <w:bidi/>
        <w:spacing w:after="0" w:line="240" w:lineRule="auto"/>
      </w:pPr>
      <w:r>
        <w:separator/>
      </w:r>
    </w:p>
  </w:footnote>
  <w:footnote w:type="continuationSeparator" w:id="0">
    <w:p w14:paraId="5689A6E7" w14:textId="77777777" w:rsidR="00433D82" w:rsidRDefault="00433D82" w:rsidP="00C336C5">
      <w:pPr>
        <w:spacing w:after="0" w:line="240" w:lineRule="auto"/>
      </w:pPr>
      <w:r>
        <w:continuationSeparator/>
      </w:r>
    </w:p>
  </w:footnote>
  <w:footnote w:type="continuationNotice" w:id="1">
    <w:p w14:paraId="73ADA0E6" w14:textId="77777777" w:rsidR="00433D82" w:rsidRDefault="00433D82">
      <w:pPr>
        <w:spacing w:after="0" w:line="240" w:lineRule="auto"/>
      </w:pPr>
    </w:p>
  </w:footnote>
  <w:footnote w:id="2">
    <w:p w14:paraId="3F7F1E37" w14:textId="77777777" w:rsidR="0081472C" w:rsidRDefault="0081472C" w:rsidP="0081472C">
      <w:pPr>
        <w:pStyle w:val="FootnoteText"/>
        <w:bidi/>
        <w:jc w:val="left"/>
        <w:rPr>
          <w:rFonts w:cs="Abz-2 (Badr)" w:hint="cs"/>
          <w:rtl/>
          <w:lang w:bidi="fa-IR"/>
        </w:rPr>
      </w:pPr>
      <w:r>
        <w:rPr>
          <w:rFonts w:cs="Abz-2 (Badr)"/>
          <w:lang w:bidi="fa-IR"/>
        </w:rPr>
        <w:footnoteRef/>
      </w:r>
      <w:r>
        <w:rPr>
          <w:rFonts w:cs="Abz-2 (Badr)" w:hint="cs"/>
          <w:rtl/>
          <w:lang w:bidi="fa-IR"/>
        </w:rPr>
        <w:t xml:space="preserve"> ـ راجع: کفاية الأُصول،ص217.</w:t>
      </w:r>
    </w:p>
  </w:footnote>
  <w:footnote w:id="3">
    <w:p w14:paraId="0AB6F668" w14:textId="77777777" w:rsidR="0081472C" w:rsidRDefault="0081472C" w:rsidP="0081472C">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منتقی الأُصول،ج3،ص302.</w:t>
      </w:r>
    </w:p>
  </w:footnote>
  <w:footnote w:id="4">
    <w:p w14:paraId="28179FC4" w14:textId="77777777" w:rsidR="0081472C" w:rsidRDefault="0081472C" w:rsidP="0081472C">
      <w:pPr>
        <w:pStyle w:val="FootnoteText"/>
        <w:bidi/>
        <w:jc w:val="left"/>
        <w:rPr>
          <w:rFonts w:cs="Abz-2 (Badr)" w:hint="cs"/>
          <w:rtl/>
          <w:lang w:bidi="fa-IR"/>
        </w:rPr>
      </w:pPr>
      <w:r>
        <w:rPr>
          <w:rFonts w:cs="Abz-2 (Badr)"/>
          <w:lang w:bidi="fa-IR"/>
        </w:rPr>
        <w:footnoteRef/>
      </w:r>
      <w:r>
        <w:rPr>
          <w:rFonts w:cs="Abz-2 (Badr)" w:hint="cs"/>
          <w:rtl/>
          <w:lang w:bidi="fa-IR"/>
        </w:rPr>
        <w:t xml:space="preserve"> </w:t>
      </w:r>
      <w:r>
        <w:rPr>
          <w:rFonts w:cs="Abz-2 (Badr)" w:hint="cs"/>
          <w:rtl/>
          <w:lang w:bidi="fa-IR"/>
        </w:rPr>
        <w:t>ـ راجع: کفاية الأُصول،ص217.</w:t>
      </w:r>
    </w:p>
  </w:footnote>
  <w:footnote w:id="5">
    <w:p w14:paraId="2D58ED95" w14:textId="77777777" w:rsidR="0081472C" w:rsidRDefault="0081472C" w:rsidP="0081472C">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منتقی الأُصول،ج3،ص302.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30800" w14:textId="77777777" w:rsidR="000425AB" w:rsidRDefault="000425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09B43AF6"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CB67E9">
                            <w:rPr>
                              <w:rFonts w:cs="B Mehr"/>
                              <w:lang w:bidi="fa-IR"/>
                            </w:rPr>
                            <w:t xml:space="preserve"> </w:t>
                          </w:r>
                          <w:r w:rsidR="003F4E57">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81472C">
                            <w:rPr>
                              <w:rFonts w:cs="B Mehr" w:hint="cs"/>
                              <w:rtl/>
                              <w:lang w:bidi="fa-IR"/>
                            </w:rPr>
                            <w:t>3</w:t>
                          </w:r>
                          <w:r w:rsidR="0094174A">
                            <w:rPr>
                              <w:rFonts w:cs="B Mehr" w:hint="cs"/>
                              <w:rtl/>
                              <w:lang w:bidi="fa-IR"/>
                            </w:rPr>
                            <w:t xml:space="preserve">   </w:t>
                          </w:r>
                          <w:r w:rsidR="0081472C">
                            <w:rPr>
                              <w:rFonts w:cs="B Mehr" w:hint="cs"/>
                              <w:rtl/>
                              <w:lang w:bidi="fa-IR"/>
                            </w:rPr>
                            <w:t>آبان</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09B43AF6"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CB67E9">
                      <w:rPr>
                        <w:rFonts w:cs="B Mehr"/>
                        <w:lang w:bidi="fa-IR"/>
                      </w:rPr>
                      <w:t xml:space="preserve"> </w:t>
                    </w:r>
                    <w:r w:rsidR="003F4E57">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81472C">
                      <w:rPr>
                        <w:rFonts w:cs="B Mehr" w:hint="cs"/>
                        <w:rtl/>
                        <w:lang w:bidi="fa-IR"/>
                      </w:rPr>
                      <w:t>3</w:t>
                    </w:r>
                    <w:r w:rsidR="0094174A">
                      <w:rPr>
                        <w:rFonts w:cs="B Mehr" w:hint="cs"/>
                        <w:rtl/>
                        <w:lang w:bidi="fa-IR"/>
                      </w:rPr>
                      <w:t xml:space="preserve">   </w:t>
                    </w:r>
                    <w:r w:rsidR="0081472C">
                      <w:rPr>
                        <w:rFonts w:cs="B Mehr" w:hint="cs"/>
                        <w:rtl/>
                        <w:lang w:bidi="fa-IR"/>
                      </w:rPr>
                      <w:t>آبان</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8983A" w14:textId="77777777" w:rsidR="000425AB" w:rsidRDefault="000425A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5B20"/>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5AB"/>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26D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DF7"/>
    <w:rsid w:val="00116FA9"/>
    <w:rsid w:val="00120694"/>
    <w:rsid w:val="0012137D"/>
    <w:rsid w:val="001227F2"/>
    <w:rsid w:val="00122C40"/>
    <w:rsid w:val="00123FAA"/>
    <w:rsid w:val="00125A9D"/>
    <w:rsid w:val="00125C91"/>
    <w:rsid w:val="00126016"/>
    <w:rsid w:val="001262DF"/>
    <w:rsid w:val="00126732"/>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BB9"/>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67459"/>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5A82"/>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D5"/>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2C9"/>
    <w:rsid w:val="003F440F"/>
    <w:rsid w:val="003F4E57"/>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3D82"/>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472C"/>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2FA"/>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26B"/>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67E9"/>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3B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08431828">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85190284">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12125884">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688360764">
      <w:bodyDiv w:val="1"/>
      <w:marLeft w:val="0"/>
      <w:marRight w:val="0"/>
      <w:marTop w:val="0"/>
      <w:marBottom w:val="0"/>
      <w:divBdr>
        <w:top w:val="none" w:sz="0" w:space="0" w:color="auto"/>
        <w:left w:val="none" w:sz="0" w:space="0" w:color="auto"/>
        <w:bottom w:val="none" w:sz="0" w:space="0" w:color="auto"/>
        <w:right w:val="none" w:sz="0" w:space="0" w:color="auto"/>
      </w:divBdr>
    </w:div>
    <w:div w:id="1699576495">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25605239">
      <w:bodyDiv w:val="1"/>
      <w:marLeft w:val="0"/>
      <w:marRight w:val="0"/>
      <w:marTop w:val="0"/>
      <w:marBottom w:val="0"/>
      <w:divBdr>
        <w:top w:val="none" w:sz="0" w:space="0" w:color="auto"/>
        <w:left w:val="none" w:sz="0" w:space="0" w:color="auto"/>
        <w:bottom w:val="none" w:sz="0" w:space="0" w:color="auto"/>
        <w:right w:val="none" w:sz="0" w:space="0" w:color="auto"/>
      </w:divBdr>
    </w:div>
    <w:div w:id="1956280822">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4103</TotalTime>
  <Pages>1</Pages>
  <Words>671</Words>
  <Characters>3827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1228</cp:revision>
  <cp:lastPrinted>2025-04-15T09:36:00Z</cp:lastPrinted>
  <dcterms:created xsi:type="dcterms:W3CDTF">2022-10-16T08:36:00Z</dcterms:created>
  <dcterms:modified xsi:type="dcterms:W3CDTF">2025-10-25T18:26:00Z</dcterms:modified>
</cp:coreProperties>
</file>