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E8E76" w14:textId="77777777" w:rsidR="00267459" w:rsidRDefault="00267459" w:rsidP="00267459">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88C0647" w14:textId="77777777" w:rsidR="00267459" w:rsidRDefault="00267459" w:rsidP="00267459">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5ED9C196" w14:textId="77777777" w:rsidR="00267459" w:rsidRDefault="00267459" w:rsidP="00267459">
      <w:pPr>
        <w:widowControl w:val="0"/>
        <w:bidi/>
        <w:spacing w:after="240"/>
        <w:jc w:val="center"/>
        <w:rPr>
          <w:rFonts w:cs="B Mitra" w:hint="cs"/>
          <w:b/>
          <w:bCs/>
          <w:sz w:val="32"/>
          <w:szCs w:val="32"/>
          <w:rtl/>
          <w:lang w:bidi="fa-IR"/>
        </w:rPr>
      </w:pPr>
      <w:r>
        <w:rPr>
          <w:rFonts w:cs="B Mitra" w:hint="cs"/>
          <w:b/>
          <w:bCs/>
          <w:sz w:val="32"/>
          <w:szCs w:val="32"/>
          <w:rtl/>
          <w:lang w:bidi="fa-IR"/>
        </w:rPr>
        <w:t>جلسه 957</w:t>
      </w:r>
    </w:p>
    <w:bookmarkEnd w:id="0"/>
    <w:p w14:paraId="62E471A1" w14:textId="77777777" w:rsidR="00267459" w:rsidRDefault="00267459" w:rsidP="00267459">
      <w:pPr>
        <w:widowControl w:val="0"/>
        <w:tabs>
          <w:tab w:val="num" w:pos="1440"/>
        </w:tabs>
        <w:bidi/>
        <w:spacing w:before="240"/>
        <w:ind w:firstLine="289"/>
        <w:jc w:val="both"/>
        <w:rPr>
          <w:rFonts w:cs="2  Mitra" w:hint="cs"/>
          <w:sz w:val="28"/>
          <w:szCs w:val="28"/>
          <w:rtl/>
        </w:rPr>
      </w:pPr>
    </w:p>
    <w:p w14:paraId="70E81B08" w14:textId="77777777" w:rsidR="00267459" w:rsidRDefault="00267459" w:rsidP="00267459">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گفتيم که مرحوم آخوند و مرحوم ميرزای نایینی قائل به این شده</w:t>
      </w:r>
      <w:r>
        <w:rPr>
          <w:rFonts w:cs="2  Mitra" w:hint="cs"/>
          <w:sz w:val="28"/>
          <w:szCs w:val="28"/>
          <w:rtl/>
          <w:lang w:bidi="fa-IR"/>
        </w:rPr>
        <w:softHyphen/>
        <w:t>اند که «کل» سبب تعميم مدخول خود بر افرادی می</w:t>
      </w:r>
      <w:r>
        <w:rPr>
          <w:rFonts w:cs="2  Mitra" w:hint="cs"/>
          <w:sz w:val="28"/>
          <w:szCs w:val="28"/>
          <w:rtl/>
          <w:lang w:bidi="fa-IR"/>
        </w:rPr>
        <w:softHyphen/>
        <w:t>شود که بر اساس اطلاق يا تقييد آن، از آن اراده شده باشد.</w:t>
      </w:r>
    </w:p>
    <w:p w14:paraId="1361F12E" w14:textId="77777777" w:rsidR="00267459" w:rsidRDefault="00267459" w:rsidP="00267459">
      <w:pPr>
        <w:widowControl w:val="0"/>
        <w:bidi/>
        <w:spacing w:before="240" w:line="261" w:lineRule="auto"/>
        <w:ind w:firstLine="289"/>
        <w:jc w:val="both"/>
        <w:rPr>
          <w:rFonts w:cs="2  Mitra" w:hint="cs"/>
          <w:sz w:val="28"/>
          <w:szCs w:val="28"/>
          <w:rtl/>
        </w:rPr>
      </w:pPr>
      <w:r>
        <w:rPr>
          <w:rFonts w:cs="2  Mitra" w:hint="cs"/>
          <w:sz w:val="28"/>
          <w:szCs w:val="28"/>
          <w:rtl/>
          <w:lang w:bidi="fa-IR"/>
        </w:rPr>
        <w:t>مرحوم محقق اصفهانی در اشکال بر قول اول می</w:t>
      </w:r>
      <w:r>
        <w:rPr>
          <w:rFonts w:cs="2  Mitra" w:hint="cs"/>
          <w:sz w:val="28"/>
          <w:szCs w:val="28"/>
          <w:rtl/>
          <w:lang w:bidi="fa-IR"/>
        </w:rPr>
        <w:softHyphen/>
        <w:t xml:space="preserve">فرمايد: </w:t>
      </w:r>
      <w:r>
        <w:rPr>
          <w:rFonts w:cs="2  Mitra" w:hint="cs"/>
          <w:sz w:val="28"/>
          <w:szCs w:val="28"/>
          <w:rtl/>
        </w:rPr>
        <w:t>اگر مقصود از احراز اطلاق، اطلاق از حیث احوال باشد، این امر بی‌ارتباط با عموم از حیث افراد است که با اهمال از حیث احوال منافاتی ندارد؛ همان‌طور که با اطلاق یا تقیید در آن جهت نیز منافات ندارد. اما اگر مقصود اطلاق از حیث خصوصيات فردساز باشد، این دیگر شأن خود «کلّ» است که شمول را از این جهت افاده کند؛ در غیر این صورت، آوردن آن یا لغو خواهد بود یا محال. بلکه اگر اطلاق از هر خصوصیتی که احتمال مدخليت آن می‌رود، با مقدمات حکمت ثابت شده باشد، دیگر نیازی به آوردن «کلّ» نیست؛ چون در آن صورت هیچ جهت اهمال و شکی باقی نمی‌ماند که با ابزار عموم برطرف شود.</w:t>
      </w:r>
      <w:r>
        <w:rPr>
          <w:rStyle w:val="FootnoteReference"/>
          <w:rFonts w:cs="2  Mitra"/>
          <w:sz w:val="28"/>
          <w:szCs w:val="28"/>
          <w:rtl/>
        </w:rPr>
        <w:footnoteReference w:id="2"/>
      </w:r>
    </w:p>
    <w:p w14:paraId="2F6E1B26" w14:textId="77777777" w:rsidR="00267459" w:rsidRDefault="00267459" w:rsidP="00267459">
      <w:pPr>
        <w:widowControl w:val="0"/>
        <w:bidi/>
        <w:spacing w:before="240" w:line="261" w:lineRule="auto"/>
        <w:ind w:firstLine="289"/>
        <w:jc w:val="both"/>
        <w:rPr>
          <w:rFonts w:cs="2  Mitra" w:hint="cs"/>
          <w:sz w:val="28"/>
          <w:szCs w:val="28"/>
          <w:rtl/>
          <w:lang w:bidi="fa-IR"/>
        </w:rPr>
      </w:pPr>
      <w:r>
        <w:rPr>
          <w:rFonts w:cs="2  Mitra" w:hint="cs"/>
          <w:spacing w:val="-4"/>
          <w:sz w:val="28"/>
          <w:szCs w:val="28"/>
          <w:rtl/>
          <w:lang w:bidi="fa-IR"/>
        </w:rPr>
        <w:t>مرحوم محقق عراقی و مرحوم آيت الله خوئي نيز ادعا کرده</w:t>
      </w:r>
      <w:r>
        <w:rPr>
          <w:rFonts w:cs="2  Mitra" w:hint="cs"/>
          <w:spacing w:val="-4"/>
          <w:sz w:val="28"/>
          <w:szCs w:val="28"/>
          <w:rtl/>
          <w:lang w:bidi="fa-IR"/>
        </w:rPr>
        <w:softHyphen/>
        <w:t>اند که ورود لفظ «کلّ»، سبب استغناء از مقدمات حکمت می</w:t>
      </w:r>
      <w:r>
        <w:rPr>
          <w:rFonts w:cs="2  Mitra" w:hint="cs"/>
          <w:spacing w:val="-4"/>
          <w:sz w:val="28"/>
          <w:szCs w:val="28"/>
          <w:rtl/>
          <w:lang w:bidi="fa-IR"/>
        </w:rPr>
        <w:softHyphen/>
        <w:t>شود، زيرا لفظ «کلّ» جايگزين آنها می</w:t>
      </w:r>
      <w:r>
        <w:rPr>
          <w:rFonts w:cs="2  Mitra" w:hint="cs"/>
          <w:spacing w:val="-4"/>
          <w:sz w:val="28"/>
          <w:szCs w:val="28"/>
          <w:rtl/>
          <w:lang w:bidi="fa-IR"/>
        </w:rPr>
        <w:softHyphen/>
        <w:t>شود و با وجود آن، نيازی به مقدّمات حکمت برای اثبات شمول حکم بر جميع افراد نيست.</w:t>
      </w:r>
      <w:r>
        <w:rPr>
          <w:rStyle w:val="FootnoteReference"/>
          <w:rFonts w:cs="2  Mitra"/>
          <w:sz w:val="28"/>
          <w:szCs w:val="28"/>
          <w:rtl/>
        </w:rPr>
        <w:footnoteReference w:id="3"/>
      </w:r>
    </w:p>
    <w:p w14:paraId="2E144571" w14:textId="77777777" w:rsidR="00267459" w:rsidRDefault="00267459" w:rsidP="00267459">
      <w:pPr>
        <w:widowControl w:val="0"/>
        <w:bidi/>
        <w:spacing w:before="240" w:line="261" w:lineRule="auto"/>
        <w:ind w:firstLine="289"/>
        <w:jc w:val="both"/>
        <w:rPr>
          <w:rFonts w:cs="2  Mitra" w:hint="cs"/>
          <w:sz w:val="28"/>
          <w:szCs w:val="28"/>
          <w:rtl/>
          <w:lang w:bidi="fa-IR"/>
        </w:rPr>
      </w:pPr>
      <w:r>
        <w:rPr>
          <w:rFonts w:cs="2  Mitra" w:hint="cs"/>
          <w:sz w:val="28"/>
          <w:szCs w:val="28"/>
          <w:rtl/>
          <w:lang w:bidi="fa-IR"/>
        </w:rPr>
        <w:t>برای بررسی اين مطلب بايد دقت داشت که قائلين به قول اول، ادعا نکرده</w:t>
      </w:r>
      <w:r>
        <w:rPr>
          <w:rFonts w:cs="2  Mitra" w:hint="cs"/>
          <w:sz w:val="28"/>
          <w:szCs w:val="28"/>
          <w:rtl/>
          <w:lang w:bidi="fa-IR"/>
        </w:rPr>
        <w:softHyphen/>
        <w:t>اند که افاده عموم توسط لفظ «کل» متوقّف بر جريان مقدمات حکمت در مدخول آن است، بلکه ادعای آنان اين است که لفظ «کل»، سبب عمومیت يافتن مدخول خود می</w:t>
      </w:r>
      <w:r>
        <w:rPr>
          <w:rFonts w:cs="2  Mitra" w:hint="cs"/>
          <w:sz w:val="28"/>
          <w:szCs w:val="28"/>
          <w:rtl/>
          <w:lang w:bidi="fa-IR"/>
        </w:rPr>
        <w:softHyphen/>
        <w:t>شود که آن مدخول می</w:t>
      </w:r>
      <w:r>
        <w:rPr>
          <w:rFonts w:cs="2  Mitra" w:hint="cs"/>
          <w:sz w:val="28"/>
          <w:szCs w:val="28"/>
          <w:rtl/>
          <w:lang w:bidi="fa-IR"/>
        </w:rPr>
        <w:softHyphen/>
        <w:t>تواند مطلق يا مقيّد باشد. چنانچه مقدمات حکمت در مدخول تمام بوده و مدخول مطلق باشد، ورود لفظ «کل» بر آن سبب می</w:t>
      </w:r>
      <w:r>
        <w:rPr>
          <w:rFonts w:cs="2  Mitra" w:hint="cs"/>
          <w:sz w:val="28"/>
          <w:szCs w:val="28"/>
          <w:rtl/>
          <w:lang w:bidi="fa-IR"/>
        </w:rPr>
        <w:softHyphen/>
        <w:t>شود که آن مدخول در جميع افراد خود بدون لحاظ هيچ قيدی عموميت بيابد، و اگر مدخول «کل» مقيّد باشد، اين لفظ فقط سبب شمول آن بر افرادی می</w:t>
      </w:r>
      <w:r>
        <w:rPr>
          <w:rFonts w:cs="2  Mitra" w:hint="cs"/>
          <w:sz w:val="28"/>
          <w:szCs w:val="28"/>
          <w:rtl/>
          <w:lang w:bidi="fa-IR"/>
        </w:rPr>
        <w:softHyphen/>
        <w:t xml:space="preserve">گردد که واجد آن قيد باشند. اما اگر قيدی ذکر نشده و در عين حال </w:t>
      </w:r>
      <w:r>
        <w:rPr>
          <w:rFonts w:cs="2  Mitra" w:hint="cs"/>
          <w:sz w:val="28"/>
          <w:szCs w:val="28"/>
          <w:rtl/>
          <w:lang w:bidi="fa-IR"/>
        </w:rPr>
        <w:lastRenderedPageBreak/>
        <w:t>مقدّمات حکمت نيز تمام نباشد، نتيجه به مانند حالت دوم خواهد بود، زيرا بدون احراز اطلاق مدخول «کل»، نمی</w:t>
      </w:r>
      <w:r>
        <w:rPr>
          <w:rFonts w:cs="2  Mitra" w:hint="cs"/>
          <w:sz w:val="28"/>
          <w:szCs w:val="28"/>
          <w:rtl/>
          <w:lang w:bidi="fa-IR"/>
        </w:rPr>
        <w:softHyphen/>
        <w:t>توان حکم به شمول آن در جميع افراد خود بدون لحاظ هيچ قيدی نمود.</w:t>
      </w:r>
    </w:p>
    <w:p w14:paraId="5AB8C236" w14:textId="77777777" w:rsidR="00267459" w:rsidRDefault="00267459" w:rsidP="00267459">
      <w:pPr>
        <w:widowControl w:val="0"/>
        <w:bidi/>
        <w:spacing w:before="240" w:line="261" w:lineRule="auto"/>
        <w:ind w:firstLine="289"/>
        <w:jc w:val="both"/>
        <w:rPr>
          <w:rFonts w:cs="2  Mitra" w:hint="cs"/>
          <w:sz w:val="28"/>
          <w:szCs w:val="28"/>
          <w:rtl/>
          <w:lang w:bidi="fa-IR"/>
        </w:rPr>
      </w:pPr>
      <w:r>
        <w:rPr>
          <w:rFonts w:cs="2  Mitra" w:hint="cs"/>
          <w:sz w:val="28"/>
          <w:szCs w:val="28"/>
          <w:rtl/>
          <w:lang w:bidi="fa-IR"/>
        </w:rPr>
        <w:t>اما اشکالی که بر اين مطلب وارد شده اين است که در صورت جريان مقدّمات حکمت در مدخول «کل»، ديگر نيازی به ورود اين لفظ بر آن وجود نخواهد داشت، زيرا تماميت مقدمات حکمت در عموميت يافتن آن مدخول کفايت می</w:t>
      </w:r>
      <w:r>
        <w:rPr>
          <w:rFonts w:cs="2  Mitra" w:hint="cs"/>
          <w:sz w:val="28"/>
          <w:szCs w:val="28"/>
          <w:rtl/>
          <w:lang w:bidi="fa-IR"/>
        </w:rPr>
        <w:softHyphen/>
        <w:t>کند، و مراد کسانی که بر فرمايش آخوند اشکال گرفته و آن را مستلزم لغويت ورود «کل» بر مدخول دانسته</w:t>
      </w:r>
      <w:r>
        <w:rPr>
          <w:rFonts w:cs="2  Mitra" w:hint="cs"/>
          <w:sz w:val="28"/>
          <w:szCs w:val="28"/>
          <w:rtl/>
          <w:lang w:bidi="fa-IR"/>
        </w:rPr>
        <w:softHyphen/>
        <w:t>اند، همين است. و چنانچه ادعا شود که پس از تماميت مقدمات حکمت و شمول حکم بر جميع افراد، لفظ کلّ باز هم سبب شمول حکم بر آن افراد می</w:t>
      </w:r>
      <w:r>
        <w:rPr>
          <w:rFonts w:cs="2  Mitra" w:hint="cs"/>
          <w:sz w:val="28"/>
          <w:szCs w:val="28"/>
          <w:rtl/>
          <w:lang w:bidi="fa-IR"/>
        </w:rPr>
        <w:softHyphen/>
        <w:t>گردد، لازمه اين مطلب تحصيل حاصل است که محال می</w:t>
      </w:r>
      <w:r>
        <w:rPr>
          <w:rFonts w:cs="2  Mitra" w:hint="cs"/>
          <w:sz w:val="28"/>
          <w:szCs w:val="28"/>
          <w:rtl/>
          <w:lang w:bidi="fa-IR"/>
        </w:rPr>
        <w:softHyphen/>
        <w:t>باشد.</w:t>
      </w:r>
    </w:p>
    <w:p w14:paraId="7CFF7A5D" w14:textId="77777777" w:rsidR="00267459" w:rsidRDefault="00267459" w:rsidP="00267459">
      <w:pPr>
        <w:widowControl w:val="0"/>
        <w:bidi/>
        <w:spacing w:before="240" w:line="261" w:lineRule="auto"/>
        <w:ind w:firstLine="289"/>
        <w:jc w:val="both"/>
        <w:rPr>
          <w:rFonts w:cs="2  Mitra" w:hint="cs"/>
          <w:spacing w:val="-4"/>
          <w:sz w:val="28"/>
          <w:szCs w:val="28"/>
          <w:rtl/>
          <w:lang w:bidi="fa-IR"/>
        </w:rPr>
      </w:pPr>
      <w:r>
        <w:rPr>
          <w:rFonts w:cs="2  Mitra" w:hint="cs"/>
          <w:spacing w:val="-4"/>
          <w:sz w:val="28"/>
          <w:szCs w:val="28"/>
          <w:rtl/>
          <w:lang w:bidi="fa-IR"/>
        </w:rPr>
        <w:t>مرحوم آيت الله روحانی در پاسخ به اين اشکال می</w:t>
      </w:r>
      <w:r>
        <w:rPr>
          <w:rFonts w:cs="2  Mitra" w:hint="cs"/>
          <w:spacing w:val="-4"/>
          <w:sz w:val="28"/>
          <w:szCs w:val="28"/>
          <w:rtl/>
          <w:lang w:bidi="fa-IR"/>
        </w:rPr>
        <w:softHyphen/>
        <w:t xml:space="preserve">فرمايند: </w:t>
      </w:r>
      <w:r>
        <w:rPr>
          <w:rFonts w:cs="2  Mitra" w:hint="cs"/>
          <w:spacing w:val="-4"/>
          <w:sz w:val="28"/>
          <w:szCs w:val="28"/>
          <w:rtl/>
        </w:rPr>
        <w:t>جریان مقدمات حکمت در مدخول «کل» باعث لغویت آن نیست، چون عموم دارای دو مقام است: 1 ـ مقام گستره طبیعت که در آن طبیعت، بر همه افراد خود منطبق شود؛ اين مقام نتیجه</w:t>
      </w:r>
      <w:r>
        <w:rPr>
          <w:rFonts w:cs="2  Mitra" w:hint="cs"/>
          <w:spacing w:val="-4"/>
          <w:sz w:val="28"/>
          <w:szCs w:val="28"/>
          <w:rtl/>
        </w:rPr>
        <w:softHyphen/>
        <w:t>ی اطلاق مدخول است که با مقدمات حکمت ثابت می‌شود. 2 ـ مقام نحوه تعلق حکم که در آن تعيين می</w:t>
      </w:r>
      <w:r>
        <w:rPr>
          <w:rFonts w:cs="2  Mitra" w:hint="cs"/>
          <w:spacing w:val="-4"/>
          <w:sz w:val="28"/>
          <w:szCs w:val="28"/>
          <w:rtl/>
        </w:rPr>
        <w:softHyphen/>
        <w:t>شود که حکم به همه افراد ـ به نحو استغراقی یا مجموعی ـ تعلق بگیرد یا به یک فرد به نحو بدلی؛ این را «کل» مشخص می‌کند و بدلیت را برمی‌دارد</w:t>
      </w:r>
      <w:r>
        <w:rPr>
          <w:rFonts w:cs="2  Mitra" w:hint="cs"/>
          <w:spacing w:val="-4"/>
          <w:sz w:val="28"/>
          <w:szCs w:val="28"/>
          <w:rtl/>
          <w:lang w:bidi="fa-IR"/>
        </w:rPr>
        <w:t>.</w:t>
      </w:r>
    </w:p>
    <w:p w14:paraId="70063F70" w14:textId="77777777" w:rsidR="00267459" w:rsidRDefault="00267459" w:rsidP="00267459">
      <w:pPr>
        <w:widowControl w:val="0"/>
        <w:bidi/>
        <w:spacing w:before="240" w:line="261" w:lineRule="auto"/>
        <w:ind w:firstLine="289"/>
        <w:jc w:val="both"/>
        <w:rPr>
          <w:rFonts w:cs="2  Mitra"/>
          <w:sz w:val="28"/>
          <w:szCs w:val="28"/>
          <w:lang w:bidi="fa-IR"/>
        </w:rPr>
      </w:pPr>
      <w:r>
        <w:rPr>
          <w:rFonts w:cs="2  Mitra" w:hint="cs"/>
          <w:sz w:val="28"/>
          <w:szCs w:val="28"/>
          <w:rtl/>
        </w:rPr>
        <w:t xml:space="preserve">بنابر این مقدمات حکمت تعیین می‌کند چه مقدار از افراد تحت طبیعت بیاید، و «کل» تعیین می‌کند </w:t>
      </w:r>
      <w:r>
        <w:rPr>
          <w:rFonts w:cs="2  Mitra" w:hint="cs"/>
          <w:i/>
          <w:iCs/>
          <w:sz w:val="28"/>
          <w:szCs w:val="28"/>
          <w:rtl/>
        </w:rPr>
        <w:t xml:space="preserve">چگونه </w:t>
      </w:r>
      <w:r>
        <w:rPr>
          <w:rFonts w:cs="2  Mitra" w:hint="cs"/>
          <w:sz w:val="28"/>
          <w:szCs w:val="28"/>
          <w:rtl/>
        </w:rPr>
        <w:t>حکم به آن‌ها سرایت کند</w:t>
      </w:r>
      <w:r>
        <w:rPr>
          <w:rFonts w:cs="2  Mitra" w:hint="cs"/>
          <w:sz w:val="28"/>
          <w:szCs w:val="28"/>
          <w:rtl/>
          <w:lang w:bidi="fa-IR"/>
        </w:rPr>
        <w:t>.</w:t>
      </w:r>
      <w:r>
        <w:rPr>
          <w:rStyle w:val="FootnoteReference"/>
          <w:rFonts w:cs="2  Mitra"/>
          <w:sz w:val="28"/>
          <w:szCs w:val="28"/>
          <w:rtl/>
        </w:rPr>
        <w:footnoteReference w:id="4"/>
      </w:r>
    </w:p>
    <w:p w14:paraId="3ABC9D0E" w14:textId="77777777" w:rsidR="00267459" w:rsidRDefault="00267459" w:rsidP="00267459">
      <w:pPr>
        <w:widowControl w:val="0"/>
        <w:bidi/>
        <w:spacing w:before="240" w:line="249" w:lineRule="auto"/>
        <w:ind w:firstLine="289"/>
        <w:jc w:val="both"/>
        <w:rPr>
          <w:rFonts w:cs="2  Mitra"/>
          <w:spacing w:val="-2"/>
          <w:sz w:val="28"/>
          <w:szCs w:val="28"/>
          <w:lang w:bidi="fa-IR"/>
        </w:rPr>
      </w:pPr>
      <w:r>
        <w:rPr>
          <w:rFonts w:cs="2  Mitra" w:hint="cs"/>
          <w:spacing w:val="-2"/>
          <w:sz w:val="28"/>
          <w:szCs w:val="28"/>
          <w:rtl/>
          <w:lang w:bidi="fa-IR"/>
        </w:rPr>
        <w:t>در واقع آنچه که ايشان فرموده</w:t>
      </w:r>
      <w:r>
        <w:rPr>
          <w:rFonts w:cs="2  Mitra" w:hint="cs"/>
          <w:spacing w:val="-2"/>
          <w:sz w:val="28"/>
          <w:szCs w:val="28"/>
          <w:rtl/>
          <w:lang w:bidi="fa-IR"/>
        </w:rPr>
        <w:softHyphen/>
        <w:t>اند، نظير همان مطلبی است که در بحث سابق گفتيم مبنی بر اين که کارکرد لفظ «کلّ»، همواره اين نيست که سبب عموم مدخول خود گردد، بلکه در برخی از مواقع کارکرد آن، تعيين نحوه عموم مدخول آن است.</w:t>
      </w:r>
    </w:p>
    <w:p w14:paraId="70E1F52E" w14:textId="77777777" w:rsidR="00267459" w:rsidRDefault="00267459" w:rsidP="00267459">
      <w:pPr>
        <w:widowControl w:val="0"/>
        <w:bidi/>
        <w:spacing w:before="240" w:line="249" w:lineRule="auto"/>
        <w:ind w:firstLine="289"/>
        <w:jc w:val="both"/>
        <w:rPr>
          <w:rFonts w:cs="2  Mitra" w:hint="cs"/>
          <w:sz w:val="28"/>
          <w:szCs w:val="28"/>
          <w:rtl/>
          <w:lang w:bidi="fa-IR"/>
        </w:rPr>
      </w:pPr>
      <w:r>
        <w:rPr>
          <w:rFonts w:cs="2  Mitra" w:hint="cs"/>
          <w:sz w:val="28"/>
          <w:szCs w:val="28"/>
          <w:rtl/>
          <w:lang w:bidi="fa-IR"/>
        </w:rPr>
        <w:t>اما اين پاسخ در ما نحن فیه قابل التزام نيست.</w:t>
      </w:r>
    </w:p>
    <w:p w14:paraId="2787D069" w14:textId="77777777" w:rsidR="00267459" w:rsidRDefault="00267459" w:rsidP="00267459">
      <w:pPr>
        <w:widowControl w:val="0"/>
        <w:bidi/>
        <w:spacing w:before="240" w:line="249" w:lineRule="auto"/>
        <w:ind w:firstLine="289"/>
        <w:jc w:val="both"/>
        <w:rPr>
          <w:rFonts w:cs="2  Mitra" w:hint="cs"/>
          <w:sz w:val="28"/>
          <w:szCs w:val="28"/>
          <w:rtl/>
          <w:lang w:bidi="fa-IR"/>
        </w:rPr>
      </w:pPr>
      <w:r>
        <w:rPr>
          <w:rFonts w:cs="2  Mitra" w:hint="cs"/>
          <w:sz w:val="28"/>
          <w:szCs w:val="28"/>
          <w:rtl/>
          <w:lang w:bidi="fa-IR"/>
        </w:rPr>
        <w:t>توضيح مطلب اين که همان گونه که در ابتدای بحث و در تعريف عموم گذشت، عموم مربوط به دلالت تصوّريّه است، فلذا عموم در مفردات وجود دارد، بدون اين که نيازی به قرار گرفتن آنها در مرکب تامّی وجود داشته باشد. در حالی که اطلاق مربوط به مرحله دلالت تصديقيه ثانيه است که بر اساس آن مراد جدی متکلم تعيين می</w:t>
      </w:r>
      <w:r>
        <w:rPr>
          <w:rFonts w:cs="2  Mitra" w:hint="cs"/>
          <w:sz w:val="28"/>
          <w:szCs w:val="28"/>
          <w:rtl/>
          <w:lang w:bidi="fa-IR"/>
        </w:rPr>
        <w:softHyphen/>
        <w:t>گردد.</w:t>
      </w:r>
    </w:p>
    <w:p w14:paraId="205318CC" w14:textId="77777777" w:rsidR="00267459" w:rsidRDefault="00267459" w:rsidP="00267459">
      <w:pPr>
        <w:widowControl w:val="0"/>
        <w:bidi/>
        <w:spacing w:before="240" w:line="249" w:lineRule="auto"/>
        <w:ind w:firstLine="289"/>
        <w:jc w:val="both"/>
        <w:rPr>
          <w:rFonts w:cs="2  Mitra" w:hint="cs"/>
          <w:sz w:val="28"/>
          <w:szCs w:val="28"/>
          <w:rtl/>
          <w:lang w:bidi="fa-IR"/>
        </w:rPr>
      </w:pPr>
      <w:r>
        <w:rPr>
          <w:rFonts w:cs="2  Mitra" w:hint="cs"/>
          <w:sz w:val="28"/>
          <w:szCs w:val="28"/>
          <w:rtl/>
          <w:lang w:bidi="fa-IR"/>
        </w:rPr>
        <w:t>بنابر اين نمی</w:t>
      </w:r>
      <w:r>
        <w:rPr>
          <w:rFonts w:cs="2  Mitra" w:hint="cs"/>
          <w:sz w:val="28"/>
          <w:szCs w:val="28"/>
          <w:rtl/>
          <w:lang w:bidi="fa-IR"/>
        </w:rPr>
        <w:softHyphen/>
        <w:t xml:space="preserve">توان ملتزم شد که جريان اطلاق در مقامی سابق بر آن مقامی است که لفظ «کل» در آن نحوه شمول مستفاد </w:t>
      </w:r>
      <w:r>
        <w:rPr>
          <w:rFonts w:cs="2  Mitra" w:hint="cs"/>
          <w:sz w:val="28"/>
          <w:szCs w:val="28"/>
          <w:rtl/>
          <w:lang w:bidi="fa-IR"/>
        </w:rPr>
        <w:lastRenderedPageBreak/>
        <w:t>از اطلاق را تعيين می</w:t>
      </w:r>
      <w:r>
        <w:rPr>
          <w:rFonts w:cs="2  Mitra" w:hint="cs"/>
          <w:sz w:val="28"/>
          <w:szCs w:val="28"/>
          <w:rtl/>
          <w:lang w:bidi="fa-IR"/>
        </w:rPr>
        <w:softHyphen/>
        <w:t>کند.</w:t>
      </w:r>
    </w:p>
    <w:p w14:paraId="2EEB1CFB" w14:textId="77777777" w:rsidR="00267459" w:rsidRDefault="00267459" w:rsidP="00267459">
      <w:pPr>
        <w:widowControl w:val="0"/>
        <w:bidi/>
        <w:spacing w:before="240" w:line="249" w:lineRule="auto"/>
        <w:ind w:firstLine="289"/>
        <w:jc w:val="both"/>
        <w:rPr>
          <w:rFonts w:cs="2  Mitra" w:hint="cs"/>
          <w:sz w:val="28"/>
          <w:szCs w:val="28"/>
          <w:rtl/>
          <w:lang w:bidi="fa-IR"/>
        </w:rPr>
      </w:pPr>
      <w:r>
        <w:rPr>
          <w:rFonts w:cs="2  Mitra" w:hint="cs"/>
          <w:sz w:val="28"/>
          <w:szCs w:val="28"/>
          <w:rtl/>
          <w:lang w:bidi="fa-IR"/>
        </w:rPr>
        <w:t>و با اين مطلب اشکال فرمايش مرحوم آخوند و مرحوم ميرزای نائینی نيز آشکار می</w:t>
      </w:r>
      <w:r>
        <w:rPr>
          <w:rFonts w:cs="2  Mitra" w:hint="cs"/>
          <w:sz w:val="28"/>
          <w:szCs w:val="28"/>
          <w:rtl/>
          <w:lang w:bidi="fa-IR"/>
        </w:rPr>
        <w:softHyphen/>
        <w:t>شود؛ زيرا اگر «کل» سبب عموم آن چيزی بشود که از متعلق آن اراده شده است، رتبه آن از رتبه اطلاق متأخر خواهد بود، در حالی که گفتيم عموم مربوط به مرحله دلالت تصوریه و اطلاق مربوط به مرحله دلالت تصدیقیه ثانيه است و معقول نيست که دلالت تصوريّه متأخر از دلالت تصديقيّه باشد.</w:t>
      </w:r>
    </w:p>
    <w:p w14:paraId="0CC39EFB" w14:textId="77777777" w:rsidR="00267459" w:rsidRDefault="00267459" w:rsidP="00267459">
      <w:pPr>
        <w:widowControl w:val="0"/>
        <w:bidi/>
        <w:spacing w:before="240" w:line="249" w:lineRule="auto"/>
        <w:ind w:firstLine="289"/>
        <w:jc w:val="both"/>
        <w:rPr>
          <w:rFonts w:cs="2  Mitra" w:hint="cs"/>
          <w:sz w:val="28"/>
          <w:szCs w:val="28"/>
          <w:rtl/>
          <w:lang w:bidi="fa-IR"/>
        </w:rPr>
      </w:pPr>
      <w:r>
        <w:rPr>
          <w:rFonts w:cs="2  Mitra" w:hint="cs"/>
          <w:sz w:val="28"/>
          <w:szCs w:val="28"/>
          <w:rtl/>
          <w:lang w:bidi="fa-IR"/>
        </w:rPr>
        <w:t>بنابر اين بايد گفت: پس از اين که در مرحله دلالت تصوریه با ورود لفظ «کل» بر مدخول آن، ظهور وضع مبنی بر در استيعاب مفهوم بر تمام افراد آن ايجاد شد، وجهی برای اخذ به اطلاق در مرحله دلالت تصديقيه برای نفی خصوصیتی در آن افراد که احتمال اراده آن توسط متکلم می</w:t>
      </w:r>
      <w:r>
        <w:rPr>
          <w:rFonts w:cs="2  Mitra" w:hint="cs"/>
          <w:sz w:val="28"/>
          <w:szCs w:val="28"/>
          <w:rtl/>
          <w:lang w:bidi="fa-IR"/>
        </w:rPr>
        <w:softHyphen/>
        <w:t>رود، وجود ندارد، زيرا اخذ به اطلاق دليل برای نفی یک خصوصیت، در جايی است که دليل دارای ظهوری در شمول جميع افراد ـ حتی افراد فاقد آن خصوصیت ـ نباشد.</w:t>
      </w:r>
    </w:p>
    <w:p w14:paraId="47B6B5D6" w14:textId="77777777" w:rsidR="00267459" w:rsidRDefault="00267459" w:rsidP="00267459">
      <w:pPr>
        <w:widowControl w:val="0"/>
        <w:bidi/>
        <w:spacing w:before="240" w:line="249" w:lineRule="auto"/>
        <w:ind w:firstLine="289"/>
        <w:jc w:val="both"/>
        <w:rPr>
          <w:rFonts w:cs="2  Mitra" w:hint="cs"/>
          <w:spacing w:val="-4"/>
          <w:sz w:val="28"/>
          <w:szCs w:val="28"/>
          <w:rtl/>
          <w:lang w:bidi="fa-IR"/>
        </w:rPr>
      </w:pPr>
      <w:r>
        <w:rPr>
          <w:rFonts w:cs="2  Mitra" w:hint="cs"/>
          <w:spacing w:val="-4"/>
          <w:sz w:val="28"/>
          <w:szCs w:val="28"/>
          <w:rtl/>
          <w:lang w:bidi="fa-IR"/>
        </w:rPr>
        <w:t>مؤيد اين مطلب نيز اين است که اگر مولا به عبد بفرمايد: «</w:t>
      </w:r>
      <w:r>
        <w:rPr>
          <w:rFonts w:cs="Abz-2 (Badr)" w:hint="cs"/>
          <w:spacing w:val="-4"/>
          <w:sz w:val="28"/>
          <w:szCs w:val="28"/>
          <w:rtl/>
          <w:lang w:bidi="fa-IR"/>
        </w:rPr>
        <w:t>أکرم کلّ عالم</w:t>
      </w:r>
      <w:r>
        <w:rPr>
          <w:rFonts w:cs="2  Mitra" w:hint="cs"/>
          <w:spacing w:val="-4"/>
          <w:sz w:val="28"/>
          <w:szCs w:val="28"/>
          <w:rtl/>
          <w:lang w:bidi="fa-IR"/>
        </w:rPr>
        <w:t>» و سپس عبد از مولا استفسار کند که آيا عالم فاسق نيز لزوم اکرام دارد، مولا می</w:t>
      </w:r>
      <w:r>
        <w:rPr>
          <w:rFonts w:cs="2  Mitra" w:hint="cs"/>
          <w:spacing w:val="-4"/>
          <w:sz w:val="28"/>
          <w:szCs w:val="28"/>
          <w:rtl/>
          <w:lang w:bidi="fa-IR"/>
        </w:rPr>
        <w:softHyphen/>
        <w:t>تواند او را توبيخ کند که بعد از اين که امر به اکرام «</w:t>
      </w:r>
      <w:r>
        <w:rPr>
          <w:rFonts w:cs="Abz-2 (Badr)" w:hint="cs"/>
          <w:spacing w:val="-4"/>
          <w:sz w:val="28"/>
          <w:szCs w:val="28"/>
          <w:rtl/>
          <w:lang w:bidi="fa-IR"/>
        </w:rPr>
        <w:t>کلّ عالم</w:t>
      </w:r>
      <w:r>
        <w:rPr>
          <w:rFonts w:cs="2  Mitra" w:hint="cs"/>
          <w:spacing w:val="-4"/>
          <w:sz w:val="28"/>
          <w:szCs w:val="28"/>
          <w:rtl/>
          <w:lang w:bidi="fa-IR"/>
        </w:rPr>
        <w:t>» کرد، وجهی برای اين استفسار نيست، در حالی که اگر شمول اين دليل بر «عالم فاسق» به واسطه اطلاق مدخول «کل» باشد، عبد می</w:t>
      </w:r>
      <w:r>
        <w:rPr>
          <w:rFonts w:cs="2  Mitra" w:hint="cs"/>
          <w:spacing w:val="-4"/>
          <w:sz w:val="28"/>
          <w:szCs w:val="28"/>
          <w:rtl/>
          <w:lang w:bidi="fa-IR"/>
        </w:rPr>
        <w:softHyphen/>
        <w:t>تواند سؤال خود را اين گونه توجيه کند که در اين که مولا از اين جهت در مقام باشد، شک کرده است.</w:t>
      </w:r>
    </w:p>
    <w:p w14:paraId="476AA47D" w14:textId="77777777" w:rsidR="00267459" w:rsidRDefault="00267459" w:rsidP="00267459">
      <w:pPr>
        <w:rPr>
          <w:rFonts w:cs="2  Mitra" w:hint="cs"/>
          <w:spacing w:val="-4"/>
          <w:sz w:val="28"/>
          <w:szCs w:val="28"/>
          <w:rtl/>
          <w:lang w:bidi="fa-IR"/>
        </w:rPr>
      </w:pPr>
      <w:r>
        <w:rPr>
          <w:rFonts w:cs="2  Mitra" w:hint="cs"/>
          <w:spacing w:val="-4"/>
          <w:sz w:val="28"/>
          <w:szCs w:val="28"/>
          <w:rtl/>
          <w:lang w:bidi="fa-IR"/>
        </w:rPr>
        <w:br w:type="page"/>
      </w:r>
    </w:p>
    <w:p w14:paraId="61352FC4" w14:textId="77777777" w:rsidR="00267459" w:rsidRDefault="00267459" w:rsidP="00267459">
      <w:pPr>
        <w:widowControl w:val="0"/>
        <w:bidi/>
        <w:spacing w:after="0"/>
        <w:ind w:firstLine="284"/>
        <w:jc w:val="both"/>
        <w:rPr>
          <w:rFonts w:ascii="Amiri" w:hAnsi="Amiri" w:cs="Abz-2 (Badr)" w:hint="cs"/>
          <w:spacing w:val="-4"/>
          <w:sz w:val="28"/>
          <w:szCs w:val="28"/>
          <w:rtl/>
        </w:rPr>
      </w:pPr>
      <w:r>
        <w:rPr>
          <w:rFonts w:ascii="Amiri" w:hAnsi="Amiri" w:cs="Abz-2 (Badr)" w:hint="cs"/>
          <w:spacing w:val="-4"/>
          <w:sz w:val="28"/>
          <w:szCs w:val="28"/>
          <w:rtl/>
        </w:rPr>
        <w:lastRenderedPageBreak/>
        <w:t>قلنا في الجلسة السابقة إنّ الآخوند والميرزا النائيني ذهبا إلى أنّ لفظ «كلّ» يفيد تعميم مدخوله بالنسبة إلى الأفراد التي يراد منه بلحاظ إطلاقه أو تقييده.</w:t>
      </w:r>
    </w:p>
    <w:p w14:paraId="507662AB" w14:textId="77777777" w:rsidR="00267459" w:rsidRDefault="00267459" w:rsidP="00267459">
      <w:pPr>
        <w:widowControl w:val="0"/>
        <w:bidi/>
        <w:spacing w:after="0"/>
        <w:ind w:firstLine="284"/>
        <w:jc w:val="both"/>
        <w:rPr>
          <w:rFonts w:ascii="Amiri" w:hAnsi="Amiri" w:cs="Abz-2 (Badr)" w:hint="cs"/>
          <w:spacing w:val="-4"/>
          <w:sz w:val="28"/>
          <w:szCs w:val="28"/>
          <w:rtl/>
          <w:lang w:bidi="fa-IR"/>
        </w:rPr>
      </w:pPr>
      <w:bookmarkStart w:id="1" w:name="_Hlk212110102"/>
      <w:r>
        <w:rPr>
          <w:rFonts w:ascii="Amiri" w:hAnsi="Amiri" w:cs="Abz-2 (Badr)" w:hint="cs"/>
          <w:spacing w:val="-4"/>
          <w:sz w:val="28"/>
          <w:szCs w:val="28"/>
          <w:rtl/>
        </w:rPr>
        <w:t>وقد أشكل المحقّق الإصفهاني على هذه الدعوی قائلاً</w:t>
      </w:r>
      <w:r>
        <w:rPr>
          <w:rFonts w:ascii="Amiri" w:hAnsi="Amiri" w:cs="Abz-2 (Badr)" w:hint="cs"/>
          <w:spacing w:val="-4"/>
          <w:sz w:val="28"/>
          <w:szCs w:val="28"/>
          <w:rtl/>
          <w:lang w:bidi="fa-IR"/>
        </w:rPr>
        <w:t xml:space="preserve">: </w:t>
      </w:r>
      <w:r>
        <w:rPr>
          <w:rFonts w:ascii="Amiri" w:hAnsi="Amiri" w:cs="Abz-2 (Badr)" w:hint="cs"/>
          <w:spacing w:val="-4"/>
          <w:sz w:val="28"/>
          <w:szCs w:val="28"/>
          <w:rtl/>
        </w:rPr>
        <w:t>إن أُريد من اعتبار إحراز الإطلاق، الإطلاق من حيث الأحوال، فهذا أمر لا صلة له بالعموم من حيث الأفراد، إذ لا منافاة بين الإهمال من جهة الأحوال وبين العموم من جهة الأفراد، كما لا منافاة بينه وبين الإطلاق أو التقييد في تلك الجهة</w:t>
      </w:r>
      <w:r>
        <w:rPr>
          <w:rFonts w:ascii="Amiri" w:hAnsi="Amiri" w:cs="Abz-2 (Badr)" w:hint="cs"/>
          <w:spacing w:val="-4"/>
          <w:sz w:val="28"/>
          <w:szCs w:val="28"/>
          <w:rtl/>
          <w:lang w:bidi="fa-IR"/>
        </w:rPr>
        <w:t xml:space="preserve">. </w:t>
      </w:r>
      <w:r>
        <w:rPr>
          <w:rFonts w:ascii="Amiri" w:hAnsi="Amiri" w:cs="Abz-2 (Badr)" w:hint="cs"/>
          <w:spacing w:val="-4"/>
          <w:sz w:val="28"/>
          <w:szCs w:val="28"/>
          <w:rtl/>
        </w:rPr>
        <w:t>وأمّا إن أُريد الإطلاق من حيث الخصوصيّات الفرديّة، فذلك ممّا هو من شأن «كلّ» نفسها، وإلّا كان إيرادها لغواً أو محالاً.</w:t>
      </w:r>
    </w:p>
    <w:p w14:paraId="68B42C9C" w14:textId="77777777" w:rsidR="00267459" w:rsidRDefault="00267459" w:rsidP="00267459">
      <w:pPr>
        <w:widowControl w:val="0"/>
        <w:bidi/>
        <w:spacing w:after="0"/>
        <w:ind w:firstLine="284"/>
        <w:jc w:val="both"/>
        <w:rPr>
          <w:rFonts w:ascii="Amiri" w:hAnsi="Amiri" w:cs="Abz-2 (Badr)"/>
          <w:spacing w:val="-4"/>
          <w:sz w:val="28"/>
          <w:szCs w:val="28"/>
          <w:lang w:bidi="fa-IR"/>
        </w:rPr>
      </w:pPr>
      <w:r>
        <w:rPr>
          <w:rFonts w:ascii="Amiri" w:hAnsi="Amiri" w:cs="Abz-2 (Badr)" w:hint="cs"/>
          <w:spacing w:val="-4"/>
          <w:sz w:val="28"/>
          <w:szCs w:val="28"/>
          <w:rtl/>
        </w:rPr>
        <w:t>بل لو ثبت الإطلاق من جميع الجهات التي يحتمل دخلها في الحكم، لم تكن هناك حاجة إلى إيراد «كلّ» أصلاً، إذ لا يبقى حينئذ مجال لإهمال أو ترديد يحتاج إلى أداة عموم لرفعه.</w:t>
      </w:r>
      <w:r>
        <w:rPr>
          <w:rStyle w:val="FootnoteReference"/>
          <w:rFonts w:cs="Abz-2 (Badr)"/>
          <w:sz w:val="28"/>
          <w:szCs w:val="28"/>
          <w:rtl/>
        </w:rPr>
        <w:footnoteReference w:id="5"/>
      </w:r>
    </w:p>
    <w:p w14:paraId="63204B7D" w14:textId="77777777" w:rsidR="00267459" w:rsidRDefault="00267459" w:rsidP="00267459">
      <w:pPr>
        <w:widowControl w:val="0"/>
        <w:bidi/>
        <w:spacing w:after="0" w:line="249" w:lineRule="auto"/>
        <w:ind w:firstLine="289"/>
        <w:jc w:val="both"/>
        <w:rPr>
          <w:rFonts w:ascii="Amiri" w:hAnsi="Amiri" w:cs="Abz-2 (Badr)"/>
          <w:spacing w:val="-4"/>
          <w:sz w:val="28"/>
          <w:szCs w:val="28"/>
        </w:rPr>
      </w:pPr>
      <w:r>
        <w:rPr>
          <w:rFonts w:ascii="Amiri" w:hAnsi="Amiri" w:cs="Abz-2 (Badr)" w:hint="cs"/>
          <w:spacing w:val="-4"/>
          <w:sz w:val="28"/>
          <w:szCs w:val="28"/>
          <w:rtl/>
        </w:rPr>
        <w:t>كما أنّ المحقّق العراقي والسيّد الخوئي ذهبا إلى أنّ ورود لفظ «كلّ» يغني عن الأخذ بتماميّة مقدّمات الحكمة، لأنّ «كلّ» تقوم مقامها وتسدّ مسدّها، فمع وجودها لا حاجة إلى تماميّة مقدّمات الحكمة لإثبات شمول الحكم لجميع الأفراد.</w:t>
      </w:r>
      <w:r>
        <w:rPr>
          <w:rStyle w:val="FootnoteReference"/>
          <w:rFonts w:cs="Abz-2 (Badr)"/>
          <w:sz w:val="28"/>
          <w:szCs w:val="28"/>
          <w:rtl/>
        </w:rPr>
        <w:footnoteReference w:id="6"/>
      </w:r>
    </w:p>
    <w:p w14:paraId="68FCED0C" w14:textId="77777777" w:rsidR="00267459" w:rsidRDefault="00267459" w:rsidP="00267459">
      <w:pPr>
        <w:widowControl w:val="0"/>
        <w:bidi/>
        <w:spacing w:after="0" w:line="249" w:lineRule="auto"/>
        <w:ind w:firstLine="289"/>
        <w:jc w:val="both"/>
        <w:rPr>
          <w:rFonts w:ascii="Amiri" w:hAnsi="Amiri" w:cs="Abz-2 (Badr)" w:hint="cs"/>
          <w:spacing w:val="-4"/>
          <w:sz w:val="28"/>
          <w:szCs w:val="28"/>
          <w:rtl/>
        </w:rPr>
      </w:pPr>
      <w:r>
        <w:rPr>
          <w:rFonts w:ascii="Amiri" w:hAnsi="Amiri" w:cs="Abz-2 (Badr)" w:hint="cs"/>
          <w:spacing w:val="-4"/>
          <w:sz w:val="28"/>
          <w:szCs w:val="28"/>
          <w:rtl/>
        </w:rPr>
        <w:t>ولأجل دراسة هذه المسألة ينبغي الالتفات إلى أنّ القائلين بالقول الأوّل، لم يدّعوا أنّ إفادة العموم بواسطة لفظ «كلّ» موقوفة على جريان مقدّمات الحكمة في مدخولها، بل مرادهم أنّ «كلّ» هي التي تكسب مدخولهَا صفة العموم، سواء أكان ذلك المدخول مطلقاً أم مقيّداً.</w:t>
      </w:r>
    </w:p>
    <w:p w14:paraId="4A1EE21D" w14:textId="77777777" w:rsidR="00267459" w:rsidRDefault="00267459" w:rsidP="00267459">
      <w:pPr>
        <w:widowControl w:val="0"/>
        <w:bidi/>
        <w:spacing w:after="0" w:line="249" w:lineRule="auto"/>
        <w:ind w:firstLine="289"/>
        <w:jc w:val="both"/>
        <w:rPr>
          <w:rFonts w:ascii="Amiri" w:hAnsi="Amiri" w:cs="Abz-2 (Badr)" w:hint="cs"/>
          <w:spacing w:val="-4"/>
          <w:sz w:val="28"/>
          <w:szCs w:val="28"/>
          <w:rtl/>
        </w:rPr>
      </w:pPr>
      <w:r>
        <w:rPr>
          <w:rFonts w:ascii="Amiri" w:hAnsi="Amiri" w:cs="Abz-2 (Badr)" w:hint="cs"/>
          <w:spacing w:val="-4"/>
          <w:sz w:val="28"/>
          <w:szCs w:val="28"/>
          <w:rtl/>
        </w:rPr>
        <w:t>فإن كانت مقدّمات الحكمة تامّة في المدخول وكان مطلقاً، فإنّ دخول «كلّ» عليه يوجب عمومه لكلّ أفراده من دون ملاحظة أيّ قيد. وإذا كان المدخول مقيّداً، فإنّ «كلّ» لا تفيد سوى شمول الحكم للأفراد المقيّدة بذلك القيد. وأمّا إذا لم يذكر قيد ولم تتمّ مقدّمات الحكمة لإثبات الإطلاق، فالحال حينئذٍ كحال المدخول المقيّد؛ لأنّه من دون إحراز إطلاق المدخول، لا يمكن الحكم بشموله لجميع أفراده.</w:t>
      </w:r>
    </w:p>
    <w:p w14:paraId="1DD55CF0" w14:textId="77777777" w:rsidR="00267459" w:rsidRDefault="00267459" w:rsidP="00267459">
      <w:pPr>
        <w:widowControl w:val="0"/>
        <w:bidi/>
        <w:spacing w:after="0" w:line="249" w:lineRule="auto"/>
        <w:ind w:firstLine="289"/>
        <w:jc w:val="both"/>
        <w:rPr>
          <w:rFonts w:ascii="Amiri" w:hAnsi="Amiri" w:cs="Abz-2 (Badr)" w:hint="cs"/>
          <w:spacing w:val="-4"/>
          <w:sz w:val="28"/>
          <w:szCs w:val="28"/>
          <w:rtl/>
          <w:lang w:bidi="fa-IR"/>
        </w:rPr>
      </w:pPr>
      <w:r>
        <w:rPr>
          <w:rFonts w:ascii="Amiri" w:hAnsi="Amiri" w:cs="Abz-2 (Badr)" w:hint="cs"/>
          <w:spacing w:val="-4"/>
          <w:sz w:val="28"/>
          <w:szCs w:val="28"/>
          <w:rtl/>
        </w:rPr>
        <w:t xml:space="preserve">والذي أُورد على هذا القول أنّه مع تماميّة مقدّمات الحكمة في مدخول «كلّ»، لا يبقى وجه لدخولها عليه، لأنّ تماميّة تلك المقدّمات تکفي في إفادة عموم المدخول من غير حاجة إلى أداة للتعميم. ومراد من اعترض على كلام الآخوند وعدّه مستلزماً للغويّة دخول «كلّ» هو هذا بعينه. ولو قيل: إنّ لفظ «كلّ» بعد تماميّة مقدّمات الحكمة يفيد أيضاً شمول الحكم لتلك الأفراد، لزم </w:t>
      </w:r>
      <w:r>
        <w:rPr>
          <w:rFonts w:ascii="Amiri" w:hAnsi="Amiri" w:cs="Abz-2 (Badr)" w:hint="cs"/>
          <w:spacing w:val="-4"/>
          <w:sz w:val="28"/>
          <w:szCs w:val="28"/>
          <w:rtl/>
        </w:rPr>
        <w:lastRenderedPageBreak/>
        <w:t>من ذلك تحصيل الحاصل، وهو أمر محال</w:t>
      </w:r>
      <w:r>
        <w:rPr>
          <w:rFonts w:ascii="Amiri" w:hAnsi="Amiri" w:cs="Abz-2 (Badr)" w:hint="cs"/>
          <w:spacing w:val="-4"/>
          <w:sz w:val="28"/>
          <w:szCs w:val="28"/>
          <w:rtl/>
          <w:lang w:bidi="fa-IR"/>
        </w:rPr>
        <w:t>.</w:t>
      </w:r>
    </w:p>
    <w:p w14:paraId="1D5B13F8" w14:textId="77777777" w:rsidR="00267459" w:rsidRDefault="00267459" w:rsidP="00267459">
      <w:pPr>
        <w:widowControl w:val="0"/>
        <w:bidi/>
        <w:spacing w:after="0" w:line="249" w:lineRule="auto"/>
        <w:ind w:firstLine="289"/>
        <w:jc w:val="both"/>
        <w:rPr>
          <w:rFonts w:ascii="Amiri" w:hAnsi="Amiri" w:cs="Abz-2 (Badr)" w:hint="cs"/>
          <w:spacing w:val="-4"/>
          <w:sz w:val="28"/>
          <w:szCs w:val="28"/>
          <w:rtl/>
          <w:lang w:bidi="fa-IR"/>
        </w:rPr>
      </w:pPr>
      <w:r>
        <w:rPr>
          <w:rFonts w:ascii="Amiri" w:hAnsi="Amiri" w:cs="Abz-2 (Badr)" w:hint="cs"/>
          <w:spacing w:val="-4"/>
          <w:sz w:val="28"/>
          <w:szCs w:val="28"/>
          <w:rtl/>
          <w:lang w:bidi="fa-IR"/>
        </w:rPr>
        <w:t xml:space="preserve">غير أنّ السيّد </w:t>
      </w:r>
      <w:r>
        <w:rPr>
          <w:rFonts w:ascii="Amiri" w:hAnsi="Amiri" w:cs="Abz-2 (Badr)" w:hint="cs"/>
          <w:spacing w:val="-4"/>
          <w:sz w:val="28"/>
          <w:szCs w:val="28"/>
          <w:rtl/>
        </w:rPr>
        <w:t>الروحاني أجاب عن هذا الإشكال بأنّ جريان مقدّمات الحكمة في مدخول «كلّ» لا يستلزم لغويّتها، لأنّ للعموم مقامين</w:t>
      </w:r>
      <w:r>
        <w:rPr>
          <w:rFonts w:ascii="Amiri" w:hAnsi="Amiri" w:cs="Abz-2 (Badr)" w:hint="cs"/>
          <w:spacing w:val="-4"/>
          <w:sz w:val="28"/>
          <w:szCs w:val="28"/>
          <w:rtl/>
          <w:lang w:bidi="fa-IR"/>
        </w:rPr>
        <w:t>:</w:t>
      </w:r>
    </w:p>
    <w:p w14:paraId="4A19CE16" w14:textId="77777777" w:rsidR="00267459" w:rsidRDefault="00267459" w:rsidP="00267459">
      <w:pPr>
        <w:widowControl w:val="0"/>
        <w:bidi/>
        <w:spacing w:after="0" w:line="249" w:lineRule="auto"/>
        <w:ind w:firstLine="289"/>
        <w:jc w:val="both"/>
        <w:rPr>
          <w:rFonts w:ascii="Amiri" w:hAnsi="Amiri" w:cs="Abz-2 (Badr)" w:hint="cs"/>
          <w:spacing w:val="-4"/>
          <w:sz w:val="28"/>
          <w:szCs w:val="28"/>
          <w:rtl/>
        </w:rPr>
      </w:pPr>
      <w:r>
        <w:rPr>
          <w:rFonts w:ascii="Amiri" w:hAnsi="Amiri" w:cs="Abz-2 (Badr)" w:hint="cs"/>
          <w:spacing w:val="-4"/>
          <w:sz w:val="28"/>
          <w:szCs w:val="28"/>
          <w:rtl/>
        </w:rPr>
        <w:t>الأوّل: مقام انطباق الطبيعة على جميع أفرادها، وهذا ما يثبت من خلال إطلاق المدخول نتيجة تماميّة مقدّمات الحكمة.</w:t>
      </w:r>
    </w:p>
    <w:p w14:paraId="5B03F649" w14:textId="77777777" w:rsidR="00267459" w:rsidRDefault="00267459" w:rsidP="00267459">
      <w:pPr>
        <w:widowControl w:val="0"/>
        <w:bidi/>
        <w:spacing w:after="0" w:line="249" w:lineRule="auto"/>
        <w:ind w:firstLine="289"/>
        <w:jc w:val="both"/>
        <w:rPr>
          <w:rFonts w:ascii="Amiri" w:hAnsi="Amiri" w:cs="Abz-2 (Badr)" w:hint="cs"/>
          <w:spacing w:val="-4"/>
          <w:sz w:val="28"/>
          <w:szCs w:val="28"/>
          <w:rtl/>
          <w:lang w:bidi="fa-IR"/>
        </w:rPr>
      </w:pPr>
      <w:r>
        <w:rPr>
          <w:rFonts w:ascii="Amiri" w:hAnsi="Amiri" w:cs="Abz-2 (Badr)" w:hint="cs"/>
          <w:spacing w:val="-4"/>
          <w:sz w:val="28"/>
          <w:szCs w:val="28"/>
          <w:rtl/>
        </w:rPr>
        <w:t>الثاني: مقام تحديد کيفيّة تعلّق الحكم، وهو بيان ما إذا كان الحكم متعلّقاً بجميع الأفراد بنحو العموم الاستغراقي أو المجموعي، أو متعلّقاً بفرد منها علی نحو العموم البدلي؛ وهذا هو ما يتكفّله لفظ «كلّ</w:t>
      </w:r>
      <w:r>
        <w:rPr>
          <w:rFonts w:ascii="Amiri" w:hAnsi="Amiri" w:cs="Abz-2 (Badr)" w:hint="cs"/>
          <w:spacing w:val="-4"/>
          <w:sz w:val="28"/>
          <w:szCs w:val="28"/>
          <w:rtl/>
          <w:lang w:bidi="fa-IR"/>
        </w:rPr>
        <w:t>»</w:t>
      </w:r>
      <w:r>
        <w:rPr>
          <w:rFonts w:ascii="Amiri" w:hAnsi="Amiri" w:cs="Abz-2 (Badr)" w:hint="cs"/>
          <w:spacing w:val="-4"/>
          <w:sz w:val="28"/>
          <w:szCs w:val="28"/>
          <w:rtl/>
        </w:rPr>
        <w:t>، إذ يقوم برفع احتمال البدليّة.</w:t>
      </w:r>
    </w:p>
    <w:p w14:paraId="420C359F" w14:textId="77777777" w:rsidR="00267459" w:rsidRDefault="00267459" w:rsidP="00267459">
      <w:pPr>
        <w:widowControl w:val="0"/>
        <w:bidi/>
        <w:spacing w:after="0" w:line="249" w:lineRule="auto"/>
        <w:ind w:firstLine="289"/>
        <w:jc w:val="both"/>
        <w:rPr>
          <w:rFonts w:ascii="Amiri" w:hAnsi="Amiri" w:cs="Abz-2 (Badr)"/>
          <w:spacing w:val="-4"/>
          <w:sz w:val="28"/>
          <w:szCs w:val="28"/>
          <w:lang w:bidi="fa-IR"/>
        </w:rPr>
      </w:pPr>
      <w:r>
        <w:rPr>
          <w:rFonts w:ascii="Amiri" w:hAnsi="Amiri" w:cs="Abz-2 (Badr)" w:hint="cs"/>
          <w:spacing w:val="-4"/>
          <w:sz w:val="28"/>
          <w:szCs w:val="28"/>
          <w:rtl/>
        </w:rPr>
        <w:t>وعليه فإنّ مقدّمات الحكمة تبيّن سعة شمول الطبيعة للأفراد، وأمّا لفظ «كلّ» فيتولّی تعيين كيفيّة سراية الحكم إلی تلك ال</w:t>
      </w:r>
      <w:r>
        <w:rPr>
          <w:rFonts w:ascii="Amiri" w:hAnsi="Amiri" w:cs="Abz-2 (Badr)" w:hint="cs"/>
          <w:spacing w:val="-4"/>
          <w:sz w:val="28"/>
          <w:szCs w:val="28"/>
          <w:rtl/>
          <w:lang w:bidi="fa-IR"/>
        </w:rPr>
        <w:t>أفراد</w:t>
      </w:r>
      <w:r>
        <w:rPr>
          <w:rFonts w:ascii="Amiri" w:hAnsi="Amiri" w:cs="Abz-2 (Badr)" w:hint="cs"/>
          <w:spacing w:val="-4"/>
          <w:sz w:val="28"/>
          <w:szCs w:val="28"/>
          <w:rtl/>
        </w:rPr>
        <w:t>.</w:t>
      </w:r>
      <w:r>
        <w:rPr>
          <w:rStyle w:val="FootnoteReference"/>
          <w:rFonts w:cs="Abz-2 (Badr)"/>
          <w:sz w:val="28"/>
          <w:szCs w:val="28"/>
          <w:rtl/>
        </w:rPr>
        <w:footnoteReference w:id="7"/>
      </w:r>
    </w:p>
    <w:p w14:paraId="6971EC33" w14:textId="77777777" w:rsidR="00267459" w:rsidRDefault="00267459" w:rsidP="00267459">
      <w:pPr>
        <w:widowControl w:val="0"/>
        <w:bidi/>
        <w:spacing w:after="0" w:line="249" w:lineRule="auto"/>
        <w:ind w:firstLine="289"/>
        <w:jc w:val="both"/>
        <w:rPr>
          <w:rFonts w:ascii="Amiri" w:hAnsi="Amiri" w:cs="Abz-2 (Badr)"/>
          <w:spacing w:val="-4"/>
          <w:sz w:val="28"/>
          <w:szCs w:val="28"/>
          <w:lang w:bidi="fa-IR"/>
        </w:rPr>
      </w:pPr>
      <w:r>
        <w:rPr>
          <w:rFonts w:ascii="Amiri" w:hAnsi="Amiri" w:cs="Abz-2 (Badr)" w:hint="cs"/>
          <w:spacing w:val="-4"/>
          <w:sz w:val="28"/>
          <w:szCs w:val="28"/>
          <w:rtl/>
        </w:rPr>
        <w:t>فإنّ ما أفاده نظير ما ذكرناه سابقاً من أنّ وظيفة لفظ «كلّ» ليست دائماً إفادة عموم مدخولها، بل قد تكون وظيفتها تعيين نوع العموم المراد من المدخول</w:t>
      </w:r>
      <w:r>
        <w:rPr>
          <w:rFonts w:ascii="Amiri" w:hAnsi="Amiri" w:cs="Abz-2 (Badr)" w:hint="cs"/>
          <w:spacing w:val="-4"/>
          <w:sz w:val="28"/>
          <w:szCs w:val="28"/>
          <w:rtl/>
          <w:lang w:bidi="fa-IR"/>
        </w:rPr>
        <w:t>.</w:t>
      </w:r>
    </w:p>
    <w:p w14:paraId="527F5FC1" w14:textId="77777777" w:rsidR="00267459" w:rsidRDefault="00267459" w:rsidP="00267459">
      <w:pPr>
        <w:widowControl w:val="0"/>
        <w:bidi/>
        <w:spacing w:after="0" w:line="249" w:lineRule="auto"/>
        <w:ind w:firstLine="289"/>
        <w:jc w:val="both"/>
        <w:rPr>
          <w:rFonts w:ascii="Amiri" w:hAnsi="Amiri" w:cs="Abz-2 (Badr)"/>
          <w:spacing w:val="-4"/>
          <w:sz w:val="28"/>
          <w:szCs w:val="28"/>
          <w:lang w:bidi="fa-IR"/>
        </w:rPr>
      </w:pPr>
      <w:r>
        <w:rPr>
          <w:rFonts w:ascii="Amiri" w:hAnsi="Amiri" w:cs="Abz-2 (Badr)" w:hint="cs"/>
          <w:spacing w:val="-4"/>
          <w:sz w:val="28"/>
          <w:szCs w:val="28"/>
          <w:rtl/>
        </w:rPr>
        <w:t>إلّا أنّ هذا الجواب غير قابل للالتزام في محلّ البحث، لأنّ العموم من شؤون مرحلة الدلالة التصوّريّة ـ كما تقدّم بيانه عند تعريف العموم في أوّل البحث ـ ولذا يستفاد العموم من المفردات من غير حاجة إلى وقوعها ضمن مرکّب تامّ. أمّا الإطلاق فهو من شؤون مرحلة الدلالة التصديقيّة الثانية، إذ به يتّضح المراد الجدّي للمتكلّم</w:t>
      </w:r>
      <w:r>
        <w:rPr>
          <w:rFonts w:ascii="Amiri" w:hAnsi="Amiri" w:cs="Abz-2 (Badr)" w:hint="cs"/>
          <w:spacing w:val="-4"/>
          <w:sz w:val="28"/>
          <w:szCs w:val="28"/>
          <w:rtl/>
          <w:lang w:bidi="fa-IR"/>
        </w:rPr>
        <w:t>.</w:t>
      </w:r>
    </w:p>
    <w:p w14:paraId="7B895949" w14:textId="77777777" w:rsidR="00267459" w:rsidRDefault="00267459" w:rsidP="00267459">
      <w:pPr>
        <w:widowControl w:val="0"/>
        <w:bidi/>
        <w:spacing w:after="0" w:line="249" w:lineRule="auto"/>
        <w:ind w:firstLine="289"/>
        <w:jc w:val="both"/>
        <w:rPr>
          <w:rFonts w:ascii="Amiri" w:hAnsi="Amiri" w:cs="Abz-2 (Badr)"/>
          <w:spacing w:val="-4"/>
          <w:sz w:val="28"/>
          <w:szCs w:val="28"/>
          <w:lang w:bidi="fa-IR"/>
        </w:rPr>
      </w:pPr>
      <w:r>
        <w:rPr>
          <w:rFonts w:ascii="Amiri" w:hAnsi="Amiri" w:cs="Abz-2 (Badr)" w:hint="cs"/>
          <w:spacing w:val="-4"/>
          <w:sz w:val="28"/>
          <w:szCs w:val="28"/>
          <w:rtl/>
        </w:rPr>
        <w:t>وعليه فلا يمكن الالتزام بجريان الإطلاق في مقام سابق على المقام الذي يعيّن فيه لفظ «كلّ</w:t>
      </w:r>
      <w:r>
        <w:rPr>
          <w:rFonts w:ascii="Amiri" w:hAnsi="Amiri" w:cs="Abz-2 (Badr)" w:hint="cs"/>
          <w:spacing w:val="-4"/>
          <w:sz w:val="28"/>
          <w:szCs w:val="28"/>
          <w:rtl/>
          <w:lang w:bidi="fa-IR"/>
        </w:rPr>
        <w:t xml:space="preserve">» </w:t>
      </w:r>
      <w:r>
        <w:rPr>
          <w:rFonts w:ascii="Amiri" w:hAnsi="Amiri" w:cs="Abz-2 (Badr)" w:hint="cs"/>
          <w:spacing w:val="-4"/>
          <w:sz w:val="28"/>
          <w:szCs w:val="28"/>
          <w:rtl/>
        </w:rPr>
        <w:t>نحو الشمول المستفاد من الإطلاق.</w:t>
      </w:r>
    </w:p>
    <w:p w14:paraId="5F332E1E" w14:textId="77777777" w:rsidR="00267459" w:rsidRDefault="00267459" w:rsidP="00267459">
      <w:pPr>
        <w:widowControl w:val="0"/>
        <w:bidi/>
        <w:spacing w:after="0" w:line="249" w:lineRule="auto"/>
        <w:ind w:firstLine="289"/>
        <w:jc w:val="both"/>
        <w:rPr>
          <w:rFonts w:ascii="Amiri" w:hAnsi="Amiri" w:cs="Abz-2 (Badr)"/>
          <w:spacing w:val="-4"/>
          <w:sz w:val="28"/>
          <w:szCs w:val="28"/>
          <w:lang w:bidi="fa-IR"/>
        </w:rPr>
      </w:pPr>
      <w:r>
        <w:rPr>
          <w:rFonts w:ascii="Amiri" w:hAnsi="Amiri" w:cs="Abz-2 (Badr)" w:hint="cs"/>
          <w:spacing w:val="-4"/>
          <w:sz w:val="28"/>
          <w:szCs w:val="28"/>
          <w:rtl/>
        </w:rPr>
        <w:t>وبهذا يتّضح أيضاً وجه الإشكال في كلام الآخوند والميرزا النائيني؛ فإنّه إذا کان لفظ «كلّ» مفيداً لعموم ما أُريد من متعلّقه، کانت رتبة العموم المستفاد منه متأخّرة عن رتبة إطلاق مدخوله، مع أنّا قد بيّنّا أنّ العموم من شؤون مرحلة الدلالة التصوّريّة، في حين أنّ الإطلاق من شؤون مرحلة الدلالة التصديقيّة الثانية، ولا يعقل تأخّر الدلالة التصوّريّة عن التصديقيّة.</w:t>
      </w:r>
    </w:p>
    <w:p w14:paraId="497D249E" w14:textId="77777777" w:rsidR="00267459" w:rsidRDefault="00267459" w:rsidP="00267459">
      <w:pPr>
        <w:widowControl w:val="0"/>
        <w:bidi/>
        <w:spacing w:after="0" w:line="249" w:lineRule="auto"/>
        <w:ind w:firstLine="289"/>
        <w:jc w:val="both"/>
        <w:rPr>
          <w:rFonts w:ascii="Amiri" w:hAnsi="Amiri" w:cs="Abz-2 (Badr)"/>
          <w:spacing w:val="-4"/>
          <w:sz w:val="28"/>
          <w:szCs w:val="28"/>
        </w:rPr>
      </w:pPr>
      <w:r>
        <w:rPr>
          <w:rFonts w:ascii="Amiri" w:hAnsi="Amiri" w:cs="Abz-2 (Badr)" w:hint="cs"/>
          <w:spacing w:val="-4"/>
          <w:sz w:val="28"/>
          <w:szCs w:val="28"/>
          <w:rtl/>
        </w:rPr>
        <w:t>وعليه ينبغي القول بأنّه بعد أن ينشئ لفظ «كلّ» في مرحلة الدلالة التصوّريّة ظهوراً وضعيّاً في استيعاب المفهوم لجميع أفراده، لا يبقى وجه للأخذ بالإطلاق في مرحلة الدلالة التصديقيّة لنفي خصوصيّة يحتمل إرادتها من قبل المتكلّم، لأنّ التمسّك بالإطلاق لنفي الخصوصيّة إنّما يصل الدور إليه إذا لم يکن للدليل ظهور في شمول جميع الأفراد وإن کانت فاقدة لتلك الخصوصيّة.</w:t>
      </w:r>
    </w:p>
    <w:p w14:paraId="60F29491" w14:textId="77777777" w:rsidR="00267459" w:rsidRDefault="00267459" w:rsidP="00267459">
      <w:pPr>
        <w:widowControl w:val="0"/>
        <w:bidi/>
        <w:spacing w:after="0" w:line="249" w:lineRule="auto"/>
        <w:ind w:firstLine="289"/>
        <w:jc w:val="both"/>
        <w:rPr>
          <w:rFonts w:ascii="Amiri" w:hAnsi="Amiri" w:cs="Abz-2 (Badr)"/>
          <w:spacing w:val="-4"/>
          <w:sz w:val="28"/>
          <w:szCs w:val="28"/>
          <w:lang w:bidi="fa-IR"/>
        </w:rPr>
      </w:pPr>
      <w:r>
        <w:rPr>
          <w:rFonts w:ascii="Amiri" w:hAnsi="Amiri" w:cs="Abz-2 (Badr)" w:hint="cs"/>
          <w:spacing w:val="-4"/>
          <w:sz w:val="28"/>
          <w:szCs w:val="28"/>
          <w:rtl/>
        </w:rPr>
        <w:lastRenderedPageBreak/>
        <w:t>والذي يؤيّد هذا المعنی أنّه لو قال المولى لعبده: «أكرم كلّ عالم» فسأله العبد: هل يجب إكرام العالم الفاسق أيضاً؟ لكان للمولى أن يوبّخه قائلاً: بعد أن أمرتك بإكرام كلّ عالم، لا وجه لاستفسارك هذا؛ مع أنّه لو کان شمول هذا الکلام للعالم الفاسق ناشئاً من إطلاق مدخول «كلّ»، لکان للعبد أن يوجّه سؤاله بأنّه يشكّ في کون المولی في مقام البيان من هذه الجهة.</w:t>
      </w:r>
      <w:bookmarkEnd w:id="1"/>
    </w:p>
    <w:p w14:paraId="7D9979DE" w14:textId="26D41A3F" w:rsidR="001B24FC" w:rsidRPr="00267459" w:rsidRDefault="001B24FC" w:rsidP="00267459">
      <w:pPr>
        <w:rPr>
          <w:rtl/>
        </w:rPr>
      </w:pPr>
    </w:p>
    <w:sectPr w:rsidR="001B24FC" w:rsidRPr="00267459"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C0428" w14:textId="77777777" w:rsidR="00116DF7" w:rsidRDefault="00116DF7" w:rsidP="00C336C5">
      <w:pPr>
        <w:spacing w:after="0" w:line="240" w:lineRule="auto"/>
      </w:pPr>
      <w:r>
        <w:separator/>
      </w:r>
    </w:p>
  </w:endnote>
  <w:endnote w:type="continuationSeparator" w:id="0">
    <w:p w14:paraId="6347E528" w14:textId="77777777" w:rsidR="00116DF7" w:rsidRDefault="00116DF7" w:rsidP="00C336C5">
      <w:pPr>
        <w:spacing w:after="0" w:line="240" w:lineRule="auto"/>
      </w:pPr>
      <w:r>
        <w:continuationSeparator/>
      </w:r>
    </w:p>
  </w:endnote>
  <w:endnote w:type="continuationNotice" w:id="1">
    <w:p w14:paraId="1F5F14FF" w14:textId="77777777" w:rsidR="00116DF7" w:rsidRDefault="00116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66EC" w14:textId="77777777" w:rsidR="000425AB" w:rsidRDefault="00042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AB73" w14:textId="77777777" w:rsidR="000425AB" w:rsidRDefault="00042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ED5C3" w14:textId="77777777" w:rsidR="00116DF7" w:rsidRDefault="00116DF7" w:rsidP="00C336C5">
      <w:pPr>
        <w:bidi/>
        <w:spacing w:after="0" w:line="240" w:lineRule="auto"/>
      </w:pPr>
      <w:r>
        <w:separator/>
      </w:r>
    </w:p>
  </w:footnote>
  <w:footnote w:type="continuationSeparator" w:id="0">
    <w:p w14:paraId="7B3F0C53" w14:textId="77777777" w:rsidR="00116DF7" w:rsidRDefault="00116DF7" w:rsidP="00C336C5">
      <w:pPr>
        <w:spacing w:after="0" w:line="240" w:lineRule="auto"/>
      </w:pPr>
      <w:r>
        <w:continuationSeparator/>
      </w:r>
    </w:p>
  </w:footnote>
  <w:footnote w:type="continuationNotice" w:id="1">
    <w:p w14:paraId="7D0CDF8C" w14:textId="77777777" w:rsidR="00116DF7" w:rsidRDefault="00116DF7">
      <w:pPr>
        <w:spacing w:after="0" w:line="240" w:lineRule="auto"/>
      </w:pPr>
    </w:p>
  </w:footnote>
  <w:footnote w:id="2">
    <w:p w14:paraId="553A7057" w14:textId="77777777" w:rsidR="00267459" w:rsidRDefault="00267459" w:rsidP="00267459">
      <w:pPr>
        <w:pStyle w:val="FootnoteText"/>
        <w:bidi/>
        <w:jc w:val="left"/>
        <w:rPr>
          <w:rFonts w:cs="Abz-2 (Badr)" w:hint="cs"/>
          <w:rtl/>
          <w:lang w:bidi="fa-IR"/>
        </w:rPr>
      </w:pPr>
      <w:r>
        <w:rPr>
          <w:rFonts w:cs="Abz-2 (Badr)"/>
          <w:lang w:bidi="fa-IR"/>
        </w:rPr>
        <w:footnoteRef/>
      </w:r>
      <w:r>
        <w:rPr>
          <w:rFonts w:cs="Abz-2 (Badr)" w:hint="cs"/>
          <w:rtl/>
          <w:lang w:bidi="fa-IR"/>
        </w:rPr>
        <w:t xml:space="preserve"> ـ راجع: نهاية الدراية،ج2،ص447.</w:t>
      </w:r>
    </w:p>
  </w:footnote>
  <w:footnote w:id="3">
    <w:p w14:paraId="3DF4A880" w14:textId="77777777" w:rsidR="00267459" w:rsidRDefault="00267459" w:rsidP="0026745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الأفکار،ج2،ص510 ـ محاضرات في أُصول الفقه،ج4،ص308.</w:t>
      </w:r>
    </w:p>
  </w:footnote>
  <w:footnote w:id="4">
    <w:p w14:paraId="6DF109BE" w14:textId="77777777" w:rsidR="00267459" w:rsidRDefault="00267459" w:rsidP="0026745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الأُصول،ج3،ص303.</w:t>
      </w:r>
    </w:p>
  </w:footnote>
  <w:footnote w:id="5">
    <w:p w14:paraId="530FB6A8" w14:textId="77777777" w:rsidR="00267459" w:rsidRDefault="00267459" w:rsidP="00267459">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نهاية الدراية،ج2،ص447.</w:t>
      </w:r>
    </w:p>
  </w:footnote>
  <w:footnote w:id="6">
    <w:p w14:paraId="1CDF35F5" w14:textId="77777777" w:rsidR="00267459" w:rsidRDefault="00267459" w:rsidP="0026745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الأفکار،ج2،ص510 ـ محاضرات في أُصول الفقه،ج4،ص308.</w:t>
      </w:r>
    </w:p>
  </w:footnote>
  <w:footnote w:id="7">
    <w:p w14:paraId="3A25B333" w14:textId="77777777" w:rsidR="00267459" w:rsidRDefault="00267459" w:rsidP="0026745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الأُصول،ج3،ص303.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0800" w14:textId="77777777" w:rsidR="000425AB" w:rsidRDefault="00042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4DACB552"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67459">
                            <w:rPr>
                              <w:rFonts w:cs="B Mehr" w:hint="cs"/>
                              <w:rtl/>
                              <w:lang w:bidi="fa-IR"/>
                            </w:rPr>
                            <w:t>چهار</w:t>
                          </w:r>
                          <w:r w:rsidR="000425AB">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267459">
                            <w:rPr>
                              <w:rFonts w:cs="B Mehr" w:hint="cs"/>
                              <w:rtl/>
                              <w:lang w:bidi="fa-IR"/>
                            </w:rPr>
                            <w:t>30</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4DACB552"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67459">
                      <w:rPr>
                        <w:rFonts w:cs="B Mehr" w:hint="cs"/>
                        <w:rtl/>
                        <w:lang w:bidi="fa-IR"/>
                      </w:rPr>
                      <w:t>چهار</w:t>
                    </w:r>
                    <w:r w:rsidR="000425AB">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267459">
                      <w:rPr>
                        <w:rFonts w:cs="B Mehr" w:hint="cs"/>
                        <w:rtl/>
                        <w:lang w:bidi="fa-IR"/>
                      </w:rPr>
                      <w:t>30</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983A" w14:textId="77777777" w:rsidR="000425AB" w:rsidRDefault="000425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4102</TotalTime>
  <Pages>1</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1226</cp:revision>
  <cp:lastPrinted>2025-04-15T09:36:00Z</cp:lastPrinted>
  <dcterms:created xsi:type="dcterms:W3CDTF">2022-10-16T08:36:00Z</dcterms:created>
  <dcterms:modified xsi:type="dcterms:W3CDTF">2025-10-24T15:52:00Z</dcterms:modified>
</cp:coreProperties>
</file>