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01384" w14:textId="77777777" w:rsidR="000425AB" w:rsidRDefault="000425AB" w:rsidP="000425AB">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43897430" w14:textId="77777777" w:rsidR="000425AB" w:rsidRDefault="000425AB" w:rsidP="000425AB">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0B3B28FC" w14:textId="77777777" w:rsidR="000425AB" w:rsidRDefault="000425AB" w:rsidP="000425AB">
      <w:pPr>
        <w:widowControl w:val="0"/>
        <w:bidi/>
        <w:spacing w:after="240"/>
        <w:jc w:val="center"/>
        <w:rPr>
          <w:rFonts w:cs="B Mitra" w:hint="cs"/>
          <w:b/>
          <w:bCs/>
          <w:sz w:val="32"/>
          <w:szCs w:val="32"/>
          <w:rtl/>
          <w:lang w:bidi="fa-IR"/>
        </w:rPr>
      </w:pPr>
      <w:r>
        <w:rPr>
          <w:rFonts w:cs="B Mitra" w:hint="cs"/>
          <w:b/>
          <w:bCs/>
          <w:sz w:val="32"/>
          <w:szCs w:val="32"/>
          <w:rtl/>
          <w:lang w:bidi="fa-IR"/>
        </w:rPr>
        <w:t>جلسه 956</w:t>
      </w:r>
    </w:p>
    <w:bookmarkEnd w:id="0"/>
    <w:p w14:paraId="77A01353" w14:textId="77777777" w:rsidR="000425AB" w:rsidRDefault="000425AB" w:rsidP="000425AB">
      <w:pPr>
        <w:widowControl w:val="0"/>
        <w:tabs>
          <w:tab w:val="num" w:pos="1440"/>
        </w:tabs>
        <w:bidi/>
        <w:spacing w:before="240"/>
        <w:ind w:firstLine="289"/>
        <w:jc w:val="both"/>
        <w:rPr>
          <w:rFonts w:cs="2  Mitra" w:hint="cs"/>
          <w:sz w:val="28"/>
          <w:szCs w:val="28"/>
          <w:rtl/>
        </w:rPr>
      </w:pPr>
    </w:p>
    <w:p w14:paraId="531257CE" w14:textId="77777777" w:rsidR="000425AB" w:rsidRDefault="000425AB" w:rsidP="000425AB">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دو اشکال از اشکالاتی را که بر مدعای شهيد صدر وارد است، جلسه قبل مطرح کرديم.</w:t>
      </w:r>
    </w:p>
    <w:p w14:paraId="01BF4F09" w14:textId="77777777" w:rsidR="000425AB" w:rsidRDefault="000425AB" w:rsidP="000425AB">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اشکال ديگر فرمايش ايشان اين است که آنچه در توجيه دلالت آيه شريفه بيان کرده</w:t>
      </w:r>
      <w:r>
        <w:rPr>
          <w:rFonts w:cs="2  Mitra" w:hint="cs"/>
          <w:sz w:val="28"/>
          <w:szCs w:val="28"/>
          <w:rtl/>
          <w:lang w:bidi="fa-IR"/>
        </w:rPr>
        <w:softHyphen/>
        <w:t>اند، مدعای عجيبی است، زيرا واضح است که مفاهيمی مثل: «طعام» و «ماء»، مفاهيمی کلی هستند که دارای افراد گوناگون می</w:t>
      </w:r>
      <w:r>
        <w:rPr>
          <w:rFonts w:cs="2  Mitra" w:hint="cs"/>
          <w:sz w:val="28"/>
          <w:szCs w:val="28"/>
          <w:rtl/>
          <w:lang w:bidi="fa-IR"/>
        </w:rPr>
        <w:softHyphen/>
        <w:t>باشند که قابلیت صدق بر آنها را دارند، و اين که ادعا شود که رابطه اين مفاهيم با افراد خود به مانند رابطه کل با اجزاء خود است، دارای اشکال واضحی است، زيرا رابطه کل با جزء به گونه</w:t>
      </w:r>
      <w:r>
        <w:rPr>
          <w:rFonts w:cs="2  Mitra" w:hint="cs"/>
          <w:sz w:val="28"/>
          <w:szCs w:val="28"/>
          <w:rtl/>
          <w:lang w:bidi="fa-IR"/>
        </w:rPr>
        <w:softHyphen/>
        <w:t>ای است که بر جزء صدق کل نمی</w:t>
      </w:r>
      <w:r>
        <w:rPr>
          <w:rFonts w:cs="2  Mitra" w:hint="cs"/>
          <w:sz w:val="28"/>
          <w:szCs w:val="28"/>
          <w:rtl/>
          <w:lang w:bidi="fa-IR"/>
        </w:rPr>
        <w:softHyphen/>
        <w:t>شود، بلکه کل متشکل از اجزاء است، پس چگونه می</w:t>
      </w:r>
      <w:r>
        <w:rPr>
          <w:rFonts w:cs="2  Mitra" w:hint="cs"/>
          <w:sz w:val="28"/>
          <w:szCs w:val="28"/>
          <w:rtl/>
          <w:lang w:bidi="fa-IR"/>
        </w:rPr>
        <w:softHyphen/>
        <w:t>توان فرد يک عنوان کلی را در عين حال جزئی از اجزاء آن نيز به حساب آورد؟</w:t>
      </w:r>
    </w:p>
    <w:p w14:paraId="2347AD8A" w14:textId="77777777" w:rsidR="000425AB" w:rsidRDefault="000425AB" w:rsidP="000425AB">
      <w:pPr>
        <w:widowControl w:val="0"/>
        <w:bidi/>
        <w:spacing w:before="240"/>
        <w:ind w:firstLine="289"/>
        <w:jc w:val="both"/>
        <w:rPr>
          <w:rFonts w:cs="2  Mitra" w:hint="cs"/>
          <w:sz w:val="28"/>
          <w:szCs w:val="28"/>
          <w:rtl/>
          <w:lang w:bidi="fa-IR"/>
        </w:rPr>
      </w:pPr>
      <w:bookmarkStart w:id="1" w:name="_Hlk211937103"/>
      <w:r>
        <w:rPr>
          <w:rFonts w:cs="2  Mitra" w:hint="cs"/>
          <w:sz w:val="28"/>
          <w:szCs w:val="28"/>
          <w:rtl/>
          <w:lang w:bidi="fa-IR"/>
        </w:rPr>
        <w:t>اما اين که صدق «طعام» يا «ماء» بر قلیل و کثير به يک نحو است، به اين معنا نيست که افراد آنها در حکم اجزاء هستند، بلکه به اين معناست که در فرديت برای آنها، قلّت و کثرت اجزاء فرد مدخليت ندارد به نحوی که يک فرد آنها می</w:t>
      </w:r>
      <w:r>
        <w:rPr>
          <w:rFonts w:cs="2  Mitra" w:hint="cs"/>
          <w:sz w:val="28"/>
          <w:szCs w:val="28"/>
          <w:rtl/>
          <w:lang w:bidi="fa-IR"/>
        </w:rPr>
        <w:softHyphen/>
        <w:t>تواند متشکل از افراد ديگر آنها باشد و رابطه افراد آنها با هم می</w:t>
      </w:r>
      <w:r>
        <w:rPr>
          <w:rFonts w:cs="2  Mitra" w:hint="cs"/>
          <w:sz w:val="28"/>
          <w:szCs w:val="28"/>
          <w:rtl/>
          <w:lang w:bidi="fa-IR"/>
        </w:rPr>
        <w:softHyphen/>
        <w:t>تواند رابطه کل و جرء باشد، وگرنه واضح است که اين دو مفهوم می</w:t>
      </w:r>
      <w:r>
        <w:rPr>
          <w:rFonts w:cs="2  Mitra" w:hint="cs"/>
          <w:sz w:val="28"/>
          <w:szCs w:val="28"/>
          <w:rtl/>
          <w:lang w:bidi="fa-IR"/>
        </w:rPr>
        <w:softHyphen/>
        <w:t>توانند افراد متعددی داشته باشند و مثلاً گفته شود: «چند طعام گوناگون».</w:t>
      </w:r>
    </w:p>
    <w:bookmarkEnd w:id="1"/>
    <w:p w14:paraId="0FD9537E" w14:textId="77777777" w:rsidR="000425AB" w:rsidRDefault="000425AB" w:rsidP="000425AB">
      <w:pPr>
        <w:widowControl w:val="0"/>
        <w:bidi/>
        <w:spacing w:before="240" w:line="237" w:lineRule="auto"/>
        <w:ind w:firstLine="289"/>
        <w:jc w:val="both"/>
        <w:rPr>
          <w:rFonts w:cs="2  Mitra" w:hint="cs"/>
          <w:sz w:val="28"/>
          <w:szCs w:val="28"/>
          <w:rtl/>
          <w:lang w:bidi="fa-IR"/>
        </w:rPr>
      </w:pPr>
      <w:r>
        <w:rPr>
          <w:rFonts w:cs="2  Mitra" w:hint="cs"/>
          <w:sz w:val="28"/>
          <w:szCs w:val="28"/>
          <w:rtl/>
          <w:lang w:bidi="fa-IR"/>
        </w:rPr>
        <w:t>بنابر اين در بيان ضابطه بايد اين گونه گفت که مدخول لفظ «کل»، چند حالت می</w:t>
      </w:r>
      <w:r>
        <w:rPr>
          <w:rFonts w:cs="2  Mitra" w:hint="cs"/>
          <w:sz w:val="28"/>
          <w:szCs w:val="28"/>
          <w:rtl/>
          <w:lang w:bidi="fa-IR"/>
        </w:rPr>
        <w:softHyphen/>
        <w:t>تواند داشته باشد:</w:t>
      </w:r>
    </w:p>
    <w:p w14:paraId="1F64B06A" w14:textId="77777777" w:rsidR="000425AB" w:rsidRDefault="000425AB" w:rsidP="000425AB">
      <w:pPr>
        <w:widowControl w:val="0"/>
        <w:bidi/>
        <w:spacing w:before="240" w:line="237" w:lineRule="auto"/>
        <w:ind w:firstLine="289"/>
        <w:jc w:val="both"/>
        <w:rPr>
          <w:rFonts w:cs="2  Mitra" w:hint="cs"/>
          <w:sz w:val="28"/>
          <w:szCs w:val="28"/>
          <w:rtl/>
          <w:lang w:bidi="fa-IR"/>
        </w:rPr>
      </w:pPr>
      <w:r>
        <w:rPr>
          <w:rFonts w:cs="2  Mitra" w:hint="cs"/>
          <w:sz w:val="28"/>
          <w:szCs w:val="28"/>
          <w:rtl/>
          <w:lang w:bidi="fa-IR"/>
        </w:rPr>
        <w:t>اول: مفهوم کلی دارای افراد باشد که قبل از ورود لفظ «کل» افاده عموم نمی</w:t>
      </w:r>
      <w:r>
        <w:rPr>
          <w:rFonts w:cs="2  Mitra" w:hint="cs"/>
          <w:sz w:val="28"/>
          <w:szCs w:val="28"/>
          <w:rtl/>
          <w:lang w:bidi="fa-IR"/>
        </w:rPr>
        <w:softHyphen/>
        <w:t>کند.</w:t>
      </w:r>
    </w:p>
    <w:p w14:paraId="74D0895A" w14:textId="77777777" w:rsidR="000425AB" w:rsidRDefault="000425AB" w:rsidP="000425AB">
      <w:pPr>
        <w:widowControl w:val="0"/>
        <w:bidi/>
        <w:spacing w:before="240" w:line="237" w:lineRule="auto"/>
        <w:ind w:firstLine="289"/>
        <w:jc w:val="both"/>
        <w:rPr>
          <w:rFonts w:cs="2  Mitra" w:hint="cs"/>
          <w:sz w:val="28"/>
          <w:szCs w:val="28"/>
          <w:rtl/>
          <w:lang w:bidi="fa-IR"/>
        </w:rPr>
      </w:pPr>
      <w:r>
        <w:rPr>
          <w:rFonts w:cs="2  Mitra" w:hint="cs"/>
          <w:sz w:val="28"/>
          <w:szCs w:val="28"/>
          <w:rtl/>
          <w:lang w:bidi="fa-IR"/>
        </w:rPr>
        <w:t>دوم: مفهوم کلی دارای افراد باشد که قبل از ورود لفظ «کل» نيز افاده عموم می</w:t>
      </w:r>
      <w:r>
        <w:rPr>
          <w:rFonts w:cs="2  Mitra" w:hint="cs"/>
          <w:sz w:val="28"/>
          <w:szCs w:val="28"/>
          <w:rtl/>
          <w:lang w:bidi="fa-IR"/>
        </w:rPr>
        <w:softHyphen/>
        <w:t>کند.</w:t>
      </w:r>
    </w:p>
    <w:p w14:paraId="7F324065" w14:textId="77777777" w:rsidR="000425AB" w:rsidRDefault="000425AB" w:rsidP="000425AB">
      <w:pPr>
        <w:widowControl w:val="0"/>
        <w:bidi/>
        <w:spacing w:before="240" w:line="237" w:lineRule="auto"/>
        <w:ind w:firstLine="289"/>
        <w:jc w:val="both"/>
        <w:rPr>
          <w:rFonts w:cs="2  Mitra" w:hint="cs"/>
          <w:sz w:val="28"/>
          <w:szCs w:val="28"/>
          <w:rtl/>
          <w:lang w:bidi="fa-IR"/>
        </w:rPr>
      </w:pPr>
      <w:r>
        <w:rPr>
          <w:rFonts w:cs="2  Mitra" w:hint="cs"/>
          <w:sz w:val="28"/>
          <w:szCs w:val="28"/>
          <w:rtl/>
          <w:lang w:bidi="fa-IR"/>
        </w:rPr>
        <w:t>سوم: مفهوم کلی دارای افراد نباشد، بلکه مرکبی دارای اجزاء باشد.</w:t>
      </w:r>
    </w:p>
    <w:p w14:paraId="45DD68E3" w14:textId="77777777" w:rsidR="000425AB" w:rsidRDefault="000425AB" w:rsidP="000425AB">
      <w:pPr>
        <w:widowControl w:val="0"/>
        <w:bidi/>
        <w:spacing w:before="240" w:line="237" w:lineRule="auto"/>
        <w:ind w:firstLine="289"/>
        <w:jc w:val="both"/>
        <w:rPr>
          <w:rFonts w:cs="Arial" w:hint="cs"/>
          <w:sz w:val="28"/>
          <w:szCs w:val="28"/>
          <w:rtl/>
          <w:lang w:bidi="fa-IR"/>
        </w:rPr>
      </w:pPr>
      <w:r>
        <w:rPr>
          <w:rFonts w:cs="2  Mitra" w:hint="cs"/>
          <w:sz w:val="28"/>
          <w:szCs w:val="28"/>
          <w:rtl/>
          <w:lang w:bidi="fa-IR"/>
        </w:rPr>
        <w:t>در فرض اول، ورود لفظ «کل» سبب می</w:t>
      </w:r>
      <w:r>
        <w:rPr>
          <w:rFonts w:cs="2  Mitra" w:hint="cs"/>
          <w:sz w:val="28"/>
          <w:szCs w:val="28"/>
          <w:rtl/>
          <w:lang w:bidi="fa-IR"/>
        </w:rPr>
        <w:softHyphen/>
        <w:t xml:space="preserve">شود که مدخول آن افاده عموم استغراقی نمايد، چه مدخول آن نکره باشد و چه </w:t>
      </w:r>
      <w:r>
        <w:rPr>
          <w:rFonts w:cs="2  Mitra" w:hint="cs"/>
          <w:sz w:val="28"/>
          <w:szCs w:val="28"/>
          <w:rtl/>
          <w:lang w:bidi="fa-IR"/>
        </w:rPr>
        <w:lastRenderedPageBreak/>
        <w:t>معرفه؛ مثل: «</w:t>
      </w:r>
      <w:r>
        <w:rPr>
          <w:rFonts w:cs="Abz-2 (Badr)" w:hint="cs"/>
          <w:sz w:val="28"/>
          <w:szCs w:val="28"/>
          <w:rtl/>
          <w:lang w:bidi="fa-IR"/>
        </w:rPr>
        <w:t>کلّ عالم</w:t>
      </w:r>
      <w:r>
        <w:rPr>
          <w:rFonts w:cs="2  Mitra" w:hint="cs"/>
          <w:sz w:val="28"/>
          <w:szCs w:val="28"/>
          <w:rtl/>
          <w:lang w:bidi="fa-IR"/>
        </w:rPr>
        <w:t>» يا «</w:t>
      </w:r>
      <w:r>
        <w:rPr>
          <w:rFonts w:cs="Abz-2 (Badr)" w:hint="cs"/>
          <w:sz w:val="28"/>
          <w:szCs w:val="28"/>
          <w:rtl/>
          <w:lang w:bidi="fa-IR"/>
        </w:rPr>
        <w:t>کلّ کتاب أدب</w:t>
      </w:r>
      <w:r>
        <w:rPr>
          <w:rFonts w:cs="2  Mitra" w:hint="cs"/>
          <w:sz w:val="28"/>
          <w:szCs w:val="28"/>
          <w:rtl/>
          <w:lang w:bidi="fa-IR"/>
        </w:rPr>
        <w:t xml:space="preserve">». وجه اين که عبارت: </w:t>
      </w:r>
      <w:r>
        <w:rPr>
          <w:rFonts w:cs="QuranTaha" w:hint="cs"/>
          <w:sz w:val="26"/>
          <w:szCs w:val="26"/>
          <w:rtl/>
        </w:rPr>
        <w:t>«كُلُّ الطَّعَامِ»</w:t>
      </w:r>
      <w:r>
        <w:rPr>
          <w:rFonts w:cs="2  Mitra" w:hint="cs"/>
          <w:sz w:val="28"/>
          <w:szCs w:val="28"/>
          <w:rtl/>
          <w:lang w:bidi="fa-IR"/>
        </w:rPr>
        <w:t xml:space="preserve"> در آيه شريفه نيز دلالت بر عموم استغراقی می</w:t>
      </w:r>
      <w:r>
        <w:rPr>
          <w:rFonts w:cs="2  Mitra" w:hint="cs"/>
          <w:sz w:val="28"/>
          <w:szCs w:val="28"/>
          <w:rtl/>
          <w:lang w:bidi="fa-IR"/>
        </w:rPr>
        <w:softHyphen/>
        <w:t xml:space="preserve">کند، همين مطلب است، زيرا الف و لامی که در اين عبارت بر سر «طعام» در آمده است، الف و لام جنس است نه عهد، فلذا </w:t>
      </w:r>
      <w:r>
        <w:rPr>
          <w:rFonts w:cs="2  Mitra" w:hint="cs"/>
          <w:sz w:val="28"/>
          <w:szCs w:val="28"/>
          <w:rtl/>
        </w:rPr>
        <w:t>(</w:t>
      </w:r>
      <w:r>
        <w:rPr>
          <w:rFonts w:cs="QuranTaha" w:hint="cs"/>
          <w:sz w:val="26"/>
          <w:szCs w:val="26"/>
          <w:rtl/>
        </w:rPr>
        <w:t>الطَّعَامِ</w:t>
      </w:r>
      <w:r>
        <w:rPr>
          <w:rFonts w:cs="2  Mitra" w:hint="cs"/>
          <w:sz w:val="28"/>
          <w:szCs w:val="28"/>
          <w:rtl/>
          <w:lang w:bidi="fa-IR"/>
        </w:rPr>
        <w:t>) مفهومی کلی است که دارای افراد متعددی می</w:t>
      </w:r>
      <w:r>
        <w:rPr>
          <w:rFonts w:cs="2  Mitra" w:hint="cs"/>
          <w:sz w:val="28"/>
          <w:szCs w:val="28"/>
          <w:rtl/>
          <w:lang w:bidi="fa-IR"/>
        </w:rPr>
        <w:softHyphen/>
        <w:t>باشد.</w:t>
      </w:r>
    </w:p>
    <w:p w14:paraId="5A0DB297" w14:textId="77777777" w:rsidR="000425AB" w:rsidRDefault="000425AB" w:rsidP="000425AB">
      <w:pPr>
        <w:widowControl w:val="0"/>
        <w:bidi/>
        <w:spacing w:before="240" w:line="237" w:lineRule="auto"/>
        <w:ind w:firstLine="289"/>
        <w:jc w:val="both"/>
        <w:rPr>
          <w:rFonts w:cs="2  Mitra"/>
          <w:sz w:val="28"/>
          <w:szCs w:val="28"/>
          <w:rtl/>
          <w:lang w:bidi="fa-IR"/>
        </w:rPr>
      </w:pPr>
      <w:r>
        <w:rPr>
          <w:rFonts w:cs="2  Mitra" w:hint="cs"/>
          <w:sz w:val="28"/>
          <w:szCs w:val="28"/>
          <w:rtl/>
          <w:lang w:bidi="fa-IR"/>
        </w:rPr>
        <w:t>در فرض دوم، ورود لفظ «کل» موجب اين می</w:t>
      </w:r>
      <w:r>
        <w:rPr>
          <w:rFonts w:cs="2  Mitra" w:hint="cs"/>
          <w:sz w:val="28"/>
          <w:szCs w:val="28"/>
          <w:rtl/>
          <w:lang w:bidi="fa-IR"/>
        </w:rPr>
        <w:softHyphen/>
        <w:t>شود که عموم مدخول آن، عمومی مجموعی گردد؛ مثل: «</w:t>
      </w:r>
      <w:r>
        <w:rPr>
          <w:rFonts w:cs="Abz-2 (Badr)" w:hint="cs"/>
          <w:sz w:val="28"/>
          <w:szCs w:val="28"/>
          <w:rtl/>
          <w:lang w:bidi="fa-IR"/>
        </w:rPr>
        <w:t>کلّ العلماء</w:t>
      </w:r>
      <w:r>
        <w:rPr>
          <w:rFonts w:cs="2  Mitra" w:hint="cs"/>
          <w:sz w:val="28"/>
          <w:szCs w:val="28"/>
          <w:rtl/>
          <w:lang w:bidi="fa-IR"/>
        </w:rPr>
        <w:t>». در واقع کارکرد «کل» در اين موارد نمی</w:t>
      </w:r>
      <w:r>
        <w:rPr>
          <w:rFonts w:cs="2  Mitra" w:hint="cs"/>
          <w:sz w:val="28"/>
          <w:szCs w:val="28"/>
          <w:rtl/>
          <w:lang w:bidi="fa-IR"/>
        </w:rPr>
        <w:softHyphen/>
        <w:t>تواند افاده عموم باشد، زيرا عموم بدون ورود «کل» نيز از مدخول آن برداشت می</w:t>
      </w:r>
      <w:r>
        <w:rPr>
          <w:rFonts w:cs="2  Mitra" w:hint="cs"/>
          <w:sz w:val="28"/>
          <w:szCs w:val="28"/>
          <w:cs/>
          <w:lang w:bidi="fa-IR"/>
        </w:rPr>
        <w:t>‎</w:t>
      </w:r>
      <w:r>
        <w:rPr>
          <w:rFonts w:cs="2  Mitra" w:hint="cs"/>
          <w:sz w:val="28"/>
          <w:szCs w:val="28"/>
          <w:rtl/>
          <w:lang w:bidi="fa-IR"/>
        </w:rPr>
        <w:t>شود، بلکه کارکرد آن تعيين نحوه عمومی است که از مدخول آن اراده شده است.</w:t>
      </w:r>
    </w:p>
    <w:p w14:paraId="5A893ACC" w14:textId="77777777" w:rsidR="000425AB" w:rsidRDefault="000425AB" w:rsidP="000425AB">
      <w:pPr>
        <w:widowControl w:val="0"/>
        <w:bidi/>
        <w:spacing w:before="240" w:line="237" w:lineRule="auto"/>
        <w:ind w:firstLine="289"/>
        <w:jc w:val="both"/>
        <w:rPr>
          <w:rFonts w:cs="2  Mitra" w:hint="cs"/>
          <w:spacing w:val="-2"/>
          <w:sz w:val="28"/>
          <w:szCs w:val="28"/>
          <w:rtl/>
          <w:lang w:bidi="fa-IR"/>
        </w:rPr>
      </w:pPr>
      <w:r>
        <w:rPr>
          <w:rFonts w:cs="2  Mitra" w:hint="cs"/>
          <w:spacing w:val="-2"/>
          <w:sz w:val="28"/>
          <w:szCs w:val="28"/>
          <w:rtl/>
          <w:lang w:bidi="fa-IR"/>
        </w:rPr>
        <w:t>اما در فرض سوم، ورود لفظ «کل» بر چنين مدخولی ـ همان گونه که سابقاً نيز گذشت ـ مستلزم اين است که چيزی در تقدير گرفته شود، زيرا آنچه که دارای افراد نيست، عموم نيز نمی</w:t>
      </w:r>
      <w:r>
        <w:rPr>
          <w:rFonts w:cs="2  Mitra" w:hint="cs"/>
          <w:spacing w:val="-2"/>
          <w:sz w:val="28"/>
          <w:szCs w:val="28"/>
          <w:rtl/>
          <w:lang w:bidi="fa-IR"/>
        </w:rPr>
        <w:softHyphen/>
        <w:t>تواند داشته باشد. در واقع مدخول «کل» در اين موارد مرکبی است که از تجميع اجزاء آن ايجاد شده است و همين امر قرينه</w:t>
      </w:r>
      <w:r>
        <w:rPr>
          <w:rFonts w:cs="2  Mitra" w:hint="cs"/>
          <w:spacing w:val="-2"/>
          <w:sz w:val="28"/>
          <w:szCs w:val="28"/>
          <w:rtl/>
          <w:lang w:bidi="fa-IR"/>
        </w:rPr>
        <w:softHyphen/>
        <w:t>ای بر اين است که آنچه که لفظ «کلّ» در صدد آن است، افاده عموم اجزاء آن مرکب به نحو مجموعی است؛ نظير «</w:t>
      </w:r>
      <w:r>
        <w:rPr>
          <w:rFonts w:cs="Abz-2 (Badr)" w:hint="cs"/>
          <w:spacing w:val="-2"/>
          <w:sz w:val="28"/>
          <w:szCs w:val="28"/>
          <w:rtl/>
          <w:lang w:bidi="fa-IR"/>
        </w:rPr>
        <w:t>کلّ الکتاب</w:t>
      </w:r>
      <w:r>
        <w:rPr>
          <w:rFonts w:cs="2  Mitra" w:hint="cs"/>
          <w:spacing w:val="-2"/>
          <w:sz w:val="28"/>
          <w:szCs w:val="28"/>
          <w:rtl/>
          <w:lang w:bidi="fa-IR"/>
        </w:rPr>
        <w:t>» در جايی که الف و لام آن برای عهد باشد نه برای جنس.</w:t>
      </w:r>
    </w:p>
    <w:p w14:paraId="5DA18C2F" w14:textId="77777777" w:rsidR="000425AB" w:rsidRDefault="000425AB" w:rsidP="000425AB">
      <w:pPr>
        <w:widowControl w:val="0"/>
        <w:bidi/>
        <w:spacing w:before="240" w:line="237" w:lineRule="auto"/>
        <w:ind w:firstLine="289"/>
        <w:jc w:val="both"/>
        <w:rPr>
          <w:rFonts w:cs="2  Mitra" w:hint="cs"/>
          <w:sz w:val="28"/>
          <w:szCs w:val="28"/>
          <w:rtl/>
          <w:lang w:bidi="fa-IR"/>
        </w:rPr>
      </w:pPr>
      <w:r>
        <w:rPr>
          <w:rFonts w:cs="2  Mitra" w:hint="cs"/>
          <w:sz w:val="28"/>
          <w:szCs w:val="28"/>
          <w:rtl/>
          <w:lang w:bidi="fa-IR"/>
        </w:rPr>
        <w:t>اما در خصوص جهت دوم بحث ـ يعنی نحوه دلالت «کل» بر عموم ـ دو قول در بين اصحاب وجود دارد:</w:t>
      </w:r>
    </w:p>
    <w:p w14:paraId="198BCC61" w14:textId="77777777" w:rsidR="000425AB" w:rsidRDefault="000425AB" w:rsidP="000425AB">
      <w:pPr>
        <w:widowControl w:val="0"/>
        <w:bidi/>
        <w:spacing w:before="240" w:line="237" w:lineRule="auto"/>
        <w:ind w:firstLine="289"/>
        <w:jc w:val="both"/>
        <w:rPr>
          <w:rFonts w:cs="2  Mitra" w:hint="cs"/>
          <w:spacing w:val="-2"/>
          <w:sz w:val="28"/>
          <w:szCs w:val="28"/>
          <w:rtl/>
          <w:lang w:bidi="fa-IR"/>
        </w:rPr>
      </w:pPr>
      <w:r>
        <w:rPr>
          <w:rFonts w:cs="2  Mitra" w:hint="cs"/>
          <w:spacing w:val="-2"/>
          <w:sz w:val="28"/>
          <w:szCs w:val="28"/>
          <w:rtl/>
          <w:lang w:bidi="fa-IR"/>
        </w:rPr>
        <w:t>قول اول: لفظ «کل» دلالت بر عموم آن چيزی می</w:t>
      </w:r>
      <w:r>
        <w:rPr>
          <w:rFonts w:cs="2  Mitra" w:hint="cs"/>
          <w:spacing w:val="-2"/>
          <w:sz w:val="28"/>
          <w:szCs w:val="28"/>
          <w:rtl/>
          <w:lang w:bidi="fa-IR"/>
        </w:rPr>
        <w:softHyphen/>
        <w:t>کند که از مدخول آن با توجه به اطلاق يا تقييد آن، اراده شده است.</w:t>
      </w:r>
    </w:p>
    <w:p w14:paraId="232C6EE5" w14:textId="77777777" w:rsidR="000425AB" w:rsidRDefault="000425AB" w:rsidP="000425AB">
      <w:pPr>
        <w:widowControl w:val="0"/>
        <w:bidi/>
        <w:spacing w:before="240" w:line="237" w:lineRule="auto"/>
        <w:ind w:firstLine="289"/>
        <w:jc w:val="both"/>
        <w:rPr>
          <w:rFonts w:cs="2  Mitra" w:hint="cs"/>
          <w:spacing w:val="-2"/>
          <w:sz w:val="28"/>
          <w:szCs w:val="28"/>
          <w:rtl/>
          <w:lang w:bidi="fa-IR"/>
        </w:rPr>
      </w:pPr>
      <w:r>
        <w:rPr>
          <w:rFonts w:cs="2  Mitra" w:hint="cs"/>
          <w:spacing w:val="-2"/>
          <w:sz w:val="28"/>
          <w:szCs w:val="28"/>
          <w:rtl/>
          <w:lang w:bidi="fa-IR"/>
        </w:rPr>
        <w:t>قول دوم: لفظ «کلّ» دلالت بر اراده عموم از مدخول خود می</w:t>
      </w:r>
      <w:r>
        <w:rPr>
          <w:rFonts w:cs="2  Mitra" w:hint="cs"/>
          <w:spacing w:val="-2"/>
          <w:sz w:val="28"/>
          <w:szCs w:val="28"/>
          <w:rtl/>
          <w:lang w:bidi="fa-IR"/>
        </w:rPr>
        <w:softHyphen/>
        <w:t>کند، بدون اين که برای اين امر، نيازمند جريان مقدّمات حکمت در مدخول خود باشد.</w:t>
      </w:r>
    </w:p>
    <w:p w14:paraId="7AA70FDE" w14:textId="77777777" w:rsidR="000425AB" w:rsidRDefault="000425AB" w:rsidP="000425AB">
      <w:pPr>
        <w:widowControl w:val="0"/>
        <w:bidi/>
        <w:spacing w:before="240" w:line="237" w:lineRule="auto"/>
        <w:ind w:firstLine="289"/>
        <w:jc w:val="both"/>
        <w:rPr>
          <w:rFonts w:cs="2  Mitra" w:hint="cs"/>
          <w:sz w:val="28"/>
          <w:szCs w:val="28"/>
          <w:rtl/>
          <w:lang w:bidi="fa-IR"/>
        </w:rPr>
      </w:pPr>
      <w:r>
        <w:rPr>
          <w:rFonts w:cs="2  Mitra" w:hint="cs"/>
          <w:sz w:val="28"/>
          <w:szCs w:val="28"/>
          <w:rtl/>
          <w:lang w:bidi="fa-IR"/>
        </w:rPr>
        <w:t>مرحوم آخوند</w:t>
      </w:r>
      <w:r>
        <w:rPr>
          <w:rStyle w:val="FootnoteReference"/>
          <w:rFonts w:cs="2  Mitra"/>
          <w:sz w:val="28"/>
          <w:szCs w:val="28"/>
          <w:rtl/>
        </w:rPr>
        <w:footnoteReference w:id="2"/>
      </w:r>
      <w:r>
        <w:rPr>
          <w:rFonts w:cs="2  Mitra" w:hint="cs"/>
          <w:sz w:val="28"/>
          <w:szCs w:val="28"/>
          <w:rtl/>
          <w:lang w:bidi="fa-IR"/>
        </w:rPr>
        <w:t xml:space="preserve"> قائل به قول اول شده است و مرحوم ميرزای نائينی</w:t>
      </w:r>
      <w:r>
        <w:rPr>
          <w:rStyle w:val="FootnoteReference"/>
          <w:rFonts w:cs="2  Mitra"/>
          <w:sz w:val="28"/>
          <w:szCs w:val="28"/>
          <w:rtl/>
        </w:rPr>
        <w:footnoteReference w:id="3"/>
      </w:r>
      <w:r>
        <w:rPr>
          <w:rFonts w:cs="2  Mitra" w:hint="cs"/>
          <w:sz w:val="28"/>
          <w:szCs w:val="28"/>
          <w:rtl/>
          <w:lang w:bidi="fa-IR"/>
        </w:rPr>
        <w:t xml:space="preserve"> نيز آن را پذيرفته است.</w:t>
      </w:r>
    </w:p>
    <w:p w14:paraId="7618BF31" w14:textId="77777777" w:rsidR="000425AB" w:rsidRDefault="000425AB" w:rsidP="000425AB">
      <w:pPr>
        <w:widowControl w:val="0"/>
        <w:bidi/>
        <w:spacing w:before="240" w:line="237" w:lineRule="auto"/>
        <w:ind w:firstLine="289"/>
        <w:jc w:val="both"/>
        <w:rPr>
          <w:rFonts w:cs="2  Mitra" w:hint="cs"/>
          <w:sz w:val="28"/>
          <w:szCs w:val="28"/>
          <w:rtl/>
          <w:lang w:bidi="fa-IR"/>
        </w:rPr>
      </w:pPr>
      <w:r>
        <w:rPr>
          <w:rFonts w:cs="2  Mitra" w:hint="cs"/>
          <w:sz w:val="28"/>
          <w:szCs w:val="28"/>
          <w:rtl/>
          <w:lang w:bidi="fa-IR"/>
        </w:rPr>
        <w:t>نقدهایی که توسط برخی از اصحاب بر این مبنا وارد شده است را جلسه آينده مطرح می</w:t>
      </w:r>
      <w:r>
        <w:rPr>
          <w:rFonts w:cs="2  Mitra" w:hint="cs"/>
          <w:sz w:val="28"/>
          <w:szCs w:val="28"/>
          <w:rtl/>
          <w:lang w:bidi="fa-IR"/>
        </w:rPr>
        <w:softHyphen/>
        <w:t>کنيم ان شاء الله.</w:t>
      </w:r>
    </w:p>
    <w:p w14:paraId="2E6BAB45" w14:textId="77777777" w:rsidR="000425AB" w:rsidRDefault="000425AB" w:rsidP="000425AB">
      <w:pPr>
        <w:rPr>
          <w:rFonts w:cs="2  Mitra" w:hint="cs"/>
          <w:sz w:val="28"/>
          <w:szCs w:val="28"/>
          <w:rtl/>
          <w:lang w:bidi="fa-IR"/>
        </w:rPr>
      </w:pPr>
      <w:r>
        <w:rPr>
          <w:rFonts w:cs="2  Mitra" w:hint="cs"/>
          <w:sz w:val="28"/>
          <w:szCs w:val="28"/>
          <w:rtl/>
          <w:lang w:bidi="fa-IR"/>
        </w:rPr>
        <w:br w:type="page"/>
      </w:r>
    </w:p>
    <w:p w14:paraId="73964244"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lastRenderedPageBreak/>
        <w:t>ذكرنا في الجلسة السابقة إشکالين من الإشكالات الواردة على مدّعى الشهيد الصدر.</w:t>
      </w:r>
    </w:p>
    <w:p w14:paraId="6679207D" w14:textId="77777777" w:rsidR="000425AB" w:rsidRDefault="000425AB" w:rsidP="000425AB">
      <w:pPr>
        <w:widowControl w:val="0"/>
        <w:bidi/>
        <w:spacing w:after="0" w:line="237" w:lineRule="auto"/>
        <w:ind w:firstLine="289"/>
        <w:jc w:val="both"/>
        <w:rPr>
          <w:rFonts w:cs="Abz-2 (Badr)" w:hint="cs"/>
          <w:sz w:val="28"/>
          <w:szCs w:val="28"/>
          <w:rtl/>
        </w:rPr>
      </w:pPr>
      <w:bookmarkStart w:id="2" w:name="_Hlk211936889"/>
      <w:r>
        <w:rPr>
          <w:rFonts w:cs="Abz-2 (Badr)" w:hint="cs"/>
          <w:sz w:val="28"/>
          <w:szCs w:val="28"/>
          <w:rtl/>
        </w:rPr>
        <w:t>وأمّا الإشكال الثالث على كلامه فهو أنّ ما ذكره في توجيه دلالة الآية الشريفة دعوى غريبة، إذ من الواضح أنّ مفاهيم من قبيل «الطعام» و«الماء»، مفاهيم كلّيّة لها أفراد متعدّدة يصحّ صدقها عليها. فادّعاء کون علاقة هذه المفاهيم بأفرادها كعلاقة الكلّ بأجزائه باطل بوضوح، لأنّ العلاقة بين الكلّ والجزء هي على نحو لا يصدق الكلّ على الجزء، بل الكلّ مؤلّف من أجزائه، فكيف يمكن أن يعدّ الفرد لمفهوم كلّي جزءً من أجزائه في الوقت نفسه؟</w:t>
      </w:r>
    </w:p>
    <w:p w14:paraId="4FE049EE"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وأمّا كون صدق مفهومي «الطعام» و«الماء» على القليل والكثير على نحو واحد، فليس معناه أنّ أفرادهما في حكم الأجزاء، بل معناه أنّ الكثرة والقلّة في أجزاء الفرد لا مدخليّة لهما في فرديّتهما، بحيث يمكن أن يكون فرد واحد منهما مؤلّفاً من أفراد أُخرى منه، وتكون العلاقة بين أفرادهما علاقة الكلّ والجزء. وإلّا فمن الواضح أنّ هذين المفهومين لهما أفراد متعدّدة ويصحّ أن يقال مثلاً: «أطعمة متنوّعة».</w:t>
      </w:r>
    </w:p>
    <w:p w14:paraId="6A81063A"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فينبغي في بيان الضابط في المسألة أن يقال: إنّ مدخول لفظ «كلّ» يمكن أن تكون له حالات ثلاث:</w:t>
      </w:r>
    </w:p>
    <w:p w14:paraId="72D8C5F2"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الأُولى: أن يكون مفهوماً كلّيّاً ذا أفراد لا يفيد العموم قبل دخول لفظ «كلّ» عليه.</w:t>
      </w:r>
    </w:p>
    <w:p w14:paraId="012EBDD1"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الثانية: أن يكون مفهوماً كلّيّاً ذا أفراد ويفيد العموم بنفسه قبل دخول لفظ «كلّ».</w:t>
      </w:r>
    </w:p>
    <w:p w14:paraId="7934B9CA"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الثالثة: أن لا يكون ذا أفراد بل يكون مركّباً ذا أجزاء.</w:t>
      </w:r>
    </w:p>
    <w:p w14:paraId="76C8636E"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ففي الفرض الأوّل يكون دخول لفظ «كلّ» موجباً لإفادة مدخوله العموم الاستغراقي، سواء أكان المدخول نكرة أم معرفة، كما في قولنا: «كلّ عالم» أو «كلّ كتاب زيد».</w:t>
      </w:r>
    </w:p>
    <w:p w14:paraId="009B71AB"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 xml:space="preserve">ومن هذا الباب أيضاً قوله تعالى: </w:t>
      </w:r>
      <w:r>
        <w:rPr>
          <w:rFonts w:cs="QuranTaha" w:hint="cs"/>
          <w:sz w:val="26"/>
          <w:szCs w:val="26"/>
          <w:rtl/>
        </w:rPr>
        <w:t>«كُلُّ الطَّعَامِ»</w:t>
      </w:r>
      <w:r>
        <w:rPr>
          <w:rFonts w:cs="Abz-2 (Badr)" w:hint="cs"/>
          <w:sz w:val="28"/>
          <w:szCs w:val="28"/>
          <w:rtl/>
        </w:rPr>
        <w:t>، فإنّه يدلّ على العموم الاستغراقي، لأنّ الألف واللام الداخلة على كلمة «الطعام» هي لام الجنس لا العهد، فـ «الطعام» مفهوم كلّي له أفراد متعدّدة.</w:t>
      </w:r>
    </w:p>
    <w:p w14:paraId="66646697"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وفي الفرض الثاني يكون دخول لفظ «كلّ» موجباً لأن يصير عموم مدخوله عموماً مجموعيّاً، كما في قولنا: «كلّ العلماء»؛</w:t>
      </w:r>
      <w:r>
        <w:rPr>
          <w:rFonts w:cs="Abz-2 (Badr)"/>
          <w:sz w:val="28"/>
          <w:szCs w:val="28"/>
        </w:rPr>
        <w:br/>
      </w:r>
      <w:r>
        <w:rPr>
          <w:rFonts w:cs="Abz-2 (Badr)" w:hint="cs"/>
          <w:sz w:val="28"/>
          <w:szCs w:val="28"/>
          <w:rtl/>
        </w:rPr>
        <w:t>فإنّ وظيفة «كلّ» في مثل هذه الموارد ليست إفادة أصل العموم، لأنّ العموم يفهم من المدخول نفسه ولو لم تدخل عليه «كلّ»، بل وظيفتها تحديد نمط العموم المراد من المدخول وبيان أنّه مجموعي لا استغراقي.</w:t>
      </w:r>
    </w:p>
    <w:p w14:paraId="34C094E9"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وأمّا في الفرض الثالث، فإنّ دخول لفظ «كلّ» على مثل هذا المدخول يستلزم تقدير أمرٍ محذوف، لأنّ ما لا أفراد له، لا يتصوّر فيه عموم.</w:t>
      </w:r>
    </w:p>
    <w:p w14:paraId="5B1D7CB8" w14:textId="77777777" w:rsidR="000425AB" w:rsidRDefault="000425AB" w:rsidP="000425AB">
      <w:pPr>
        <w:widowControl w:val="0"/>
        <w:bidi/>
        <w:spacing w:after="0" w:line="237" w:lineRule="auto"/>
        <w:ind w:firstLine="289"/>
        <w:jc w:val="both"/>
        <w:rPr>
          <w:rFonts w:cs="Abz-2 (Badr)" w:hint="cs"/>
          <w:sz w:val="28"/>
          <w:szCs w:val="28"/>
          <w:rtl/>
          <w:lang w:bidi="fa-IR"/>
        </w:rPr>
      </w:pPr>
      <w:r>
        <w:rPr>
          <w:rFonts w:cs="Abz-2 (Badr)" w:hint="cs"/>
          <w:sz w:val="28"/>
          <w:szCs w:val="28"/>
          <w:rtl/>
        </w:rPr>
        <w:t xml:space="preserve">فکون مدخول «كلّ» في هذه الموارد مركّباً مؤلّفاً من مجموع أجزائه يعدّ قرينة على أنّ المقصود من لفظ «كلّ» هو إفادة </w:t>
      </w:r>
      <w:r>
        <w:rPr>
          <w:rFonts w:cs="Abz-2 (Badr)" w:hint="cs"/>
          <w:sz w:val="28"/>
          <w:szCs w:val="28"/>
          <w:rtl/>
        </w:rPr>
        <w:lastRenderedPageBreak/>
        <w:t>عموم الأجزاء على نحو العموم المجموعي، كما في قولنا: «كلّ الكتاب» فيما إذا كانت الألف واللام للعهد دون الجنس.</w:t>
      </w:r>
    </w:p>
    <w:p w14:paraId="15468307"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وأمّا في الجهة الثانية من البحث ـ أي في كيفية دلالة لفظ «كلّ» على العموم ـ فقد وجد في كلمات الأصحاب قولان:</w:t>
      </w:r>
    </w:p>
    <w:p w14:paraId="4D1D5166" w14:textId="77777777" w:rsidR="000425AB" w:rsidRDefault="000425AB" w:rsidP="000425AB">
      <w:pPr>
        <w:widowControl w:val="0"/>
        <w:bidi/>
        <w:spacing w:after="0" w:line="237" w:lineRule="auto"/>
        <w:ind w:firstLine="289"/>
        <w:jc w:val="both"/>
        <w:rPr>
          <w:rFonts w:cs="Abz-2 (Badr)" w:hint="cs"/>
          <w:sz w:val="28"/>
          <w:szCs w:val="28"/>
          <w:rtl/>
        </w:rPr>
      </w:pPr>
      <w:r>
        <w:rPr>
          <w:rFonts w:cs="Abz-2 (Badr)" w:hint="cs"/>
          <w:sz w:val="28"/>
          <w:szCs w:val="28"/>
          <w:rtl/>
        </w:rPr>
        <w:t>القول الأوّل: أنّ لفظ «كلّ» يدلّ على عموم ما أُريد من مدخوله بلحاظ إطلاقه أو تقييده.</w:t>
      </w:r>
    </w:p>
    <w:p w14:paraId="78C8962F" w14:textId="77777777" w:rsidR="000425AB" w:rsidRDefault="000425AB" w:rsidP="000425AB">
      <w:pPr>
        <w:widowControl w:val="0"/>
        <w:bidi/>
        <w:spacing w:after="0" w:line="237" w:lineRule="auto"/>
        <w:ind w:firstLine="289"/>
        <w:jc w:val="both"/>
        <w:rPr>
          <w:rFonts w:cs="Abz-2 (Badr)"/>
          <w:sz w:val="28"/>
          <w:szCs w:val="28"/>
        </w:rPr>
      </w:pPr>
      <w:r>
        <w:rPr>
          <w:rFonts w:cs="Abz-2 (Badr)" w:hint="cs"/>
          <w:sz w:val="28"/>
          <w:szCs w:val="28"/>
          <w:rtl/>
        </w:rPr>
        <w:t>القول الثاني: أنّ لفظ «كلّ» يدلّ بنفسه على إرادة العموم من مدخوله من غير حاجة إلى جريان مقدّمات الحكمة فيه.</w:t>
      </w:r>
    </w:p>
    <w:p w14:paraId="42368B00" w14:textId="77777777" w:rsidR="000425AB" w:rsidRDefault="000425AB" w:rsidP="000425AB">
      <w:pPr>
        <w:widowControl w:val="0"/>
        <w:bidi/>
        <w:spacing w:after="0" w:line="237" w:lineRule="auto"/>
        <w:ind w:firstLine="289"/>
        <w:jc w:val="both"/>
        <w:rPr>
          <w:rFonts w:cs="Abz-2 (Badr)"/>
          <w:sz w:val="28"/>
          <w:szCs w:val="28"/>
        </w:rPr>
      </w:pPr>
      <w:r>
        <w:rPr>
          <w:rFonts w:cs="Abz-2 (Badr)" w:hint="cs"/>
          <w:sz w:val="28"/>
          <w:szCs w:val="28"/>
          <w:rtl/>
        </w:rPr>
        <w:t>وقد اختار الآخوند</w:t>
      </w:r>
      <w:r>
        <w:rPr>
          <w:rStyle w:val="FootnoteReference"/>
          <w:rFonts w:cs="Abz-2 (Badr)"/>
          <w:sz w:val="28"/>
          <w:szCs w:val="28"/>
          <w:rtl/>
        </w:rPr>
        <w:footnoteReference w:id="4"/>
      </w:r>
      <w:r>
        <w:rPr>
          <w:rFonts w:cs="Abz-2 (Badr)" w:hint="cs"/>
          <w:sz w:val="28"/>
          <w:szCs w:val="28"/>
          <w:rtl/>
        </w:rPr>
        <w:t xml:space="preserve"> القول الأوّل ووافقه عليه الميرزا النائيني</w:t>
      </w:r>
      <w:r>
        <w:rPr>
          <w:rStyle w:val="FootnoteReference"/>
          <w:rFonts w:cs="Abz-2 (Badr)"/>
          <w:sz w:val="28"/>
          <w:szCs w:val="28"/>
          <w:rtl/>
        </w:rPr>
        <w:footnoteReference w:id="5"/>
      </w:r>
      <w:r>
        <w:rPr>
          <w:rFonts w:cs="Abz-2 (Badr)" w:hint="cs"/>
          <w:sz w:val="28"/>
          <w:szCs w:val="28"/>
          <w:rtl/>
        </w:rPr>
        <w:t>.</w:t>
      </w:r>
    </w:p>
    <w:bookmarkEnd w:id="2"/>
    <w:p w14:paraId="417F57A4" w14:textId="77777777" w:rsidR="000425AB" w:rsidRDefault="000425AB" w:rsidP="000425AB">
      <w:pPr>
        <w:widowControl w:val="0"/>
        <w:bidi/>
        <w:spacing w:after="0" w:line="237" w:lineRule="auto"/>
        <w:ind w:firstLine="289"/>
        <w:jc w:val="both"/>
        <w:rPr>
          <w:rFonts w:cs="Abz-2 (Badr)"/>
          <w:sz w:val="28"/>
          <w:szCs w:val="28"/>
        </w:rPr>
      </w:pPr>
      <w:r>
        <w:rPr>
          <w:rFonts w:cs="Abz-2 (Badr)" w:hint="cs"/>
          <w:sz w:val="28"/>
          <w:szCs w:val="28"/>
          <w:rtl/>
        </w:rPr>
        <w:t>وأمّا ما أُورد على هذا المبنى من نقد وإيراد من بعض الأعلام، فسيأتي الحديث عنه في الجلسة القادمة إن شاء الله تعالى.</w:t>
      </w:r>
    </w:p>
    <w:p w14:paraId="4D5203D9" w14:textId="77777777" w:rsidR="000425AB" w:rsidRDefault="000425AB" w:rsidP="000425AB">
      <w:pPr>
        <w:widowControl w:val="0"/>
        <w:bidi/>
        <w:spacing w:before="240" w:line="249" w:lineRule="auto"/>
        <w:ind w:firstLine="289"/>
        <w:jc w:val="both"/>
        <w:rPr>
          <w:rFonts w:ascii="Amiri" w:hAnsi="Amiri" w:cs="Abz-2 (Badr)"/>
          <w:sz w:val="28"/>
          <w:szCs w:val="28"/>
          <w:lang w:bidi="fa-IR"/>
        </w:rPr>
      </w:pPr>
    </w:p>
    <w:p w14:paraId="7D9979DE" w14:textId="26D41A3F" w:rsidR="001B24FC" w:rsidRPr="000425AB" w:rsidRDefault="001B24FC" w:rsidP="000425AB">
      <w:pPr>
        <w:rPr>
          <w:rtl/>
        </w:rPr>
      </w:pPr>
    </w:p>
    <w:sectPr w:rsidR="001B24FC" w:rsidRPr="000425AB"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40A60" w14:textId="77777777" w:rsidR="008F62FA" w:rsidRDefault="008F62FA" w:rsidP="00C336C5">
      <w:pPr>
        <w:spacing w:after="0" w:line="240" w:lineRule="auto"/>
      </w:pPr>
      <w:r>
        <w:separator/>
      </w:r>
    </w:p>
  </w:endnote>
  <w:endnote w:type="continuationSeparator" w:id="0">
    <w:p w14:paraId="61CEE003" w14:textId="77777777" w:rsidR="008F62FA" w:rsidRDefault="008F62FA" w:rsidP="00C336C5">
      <w:pPr>
        <w:spacing w:after="0" w:line="240" w:lineRule="auto"/>
      </w:pPr>
      <w:r>
        <w:continuationSeparator/>
      </w:r>
    </w:p>
  </w:endnote>
  <w:endnote w:type="continuationNotice" w:id="1">
    <w:p w14:paraId="124593AA" w14:textId="77777777" w:rsidR="008F62FA" w:rsidRDefault="008F62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66EC" w14:textId="77777777" w:rsidR="000425AB" w:rsidRDefault="00042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AB73" w14:textId="77777777" w:rsidR="000425AB" w:rsidRDefault="00042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8B8EE" w14:textId="77777777" w:rsidR="008F62FA" w:rsidRDefault="008F62FA" w:rsidP="00C336C5">
      <w:pPr>
        <w:bidi/>
        <w:spacing w:after="0" w:line="240" w:lineRule="auto"/>
      </w:pPr>
      <w:r>
        <w:separator/>
      </w:r>
    </w:p>
  </w:footnote>
  <w:footnote w:type="continuationSeparator" w:id="0">
    <w:p w14:paraId="46688DB5" w14:textId="77777777" w:rsidR="008F62FA" w:rsidRDefault="008F62FA" w:rsidP="00C336C5">
      <w:pPr>
        <w:spacing w:after="0" w:line="240" w:lineRule="auto"/>
      </w:pPr>
      <w:r>
        <w:continuationSeparator/>
      </w:r>
    </w:p>
  </w:footnote>
  <w:footnote w:type="continuationNotice" w:id="1">
    <w:p w14:paraId="12058BF2" w14:textId="77777777" w:rsidR="008F62FA" w:rsidRDefault="008F62FA">
      <w:pPr>
        <w:spacing w:after="0" w:line="240" w:lineRule="auto"/>
      </w:pPr>
    </w:p>
  </w:footnote>
  <w:footnote w:id="2">
    <w:p w14:paraId="5E6A6A6E" w14:textId="77777777" w:rsidR="000425AB" w:rsidRDefault="000425AB" w:rsidP="000425AB">
      <w:pPr>
        <w:pStyle w:val="FootnoteText"/>
        <w:bidi/>
        <w:jc w:val="left"/>
        <w:rPr>
          <w:rFonts w:cs="Abz-2 (Badr)" w:hint="cs"/>
          <w:rtl/>
          <w:lang w:bidi="fa-IR"/>
        </w:rPr>
      </w:pPr>
      <w:r>
        <w:rPr>
          <w:rFonts w:cs="Abz-2 (Badr)"/>
          <w:lang w:bidi="fa-IR"/>
        </w:rPr>
        <w:footnoteRef/>
      </w:r>
      <w:r>
        <w:rPr>
          <w:rFonts w:cs="Abz-2 (Badr)" w:hint="cs"/>
          <w:rtl/>
          <w:lang w:bidi="fa-IR"/>
        </w:rPr>
        <w:t xml:space="preserve"> ـ راجع: کفاية الأُصول،ص217.</w:t>
      </w:r>
    </w:p>
  </w:footnote>
  <w:footnote w:id="3">
    <w:p w14:paraId="3381EC8E" w14:textId="77777777" w:rsidR="000425AB" w:rsidRDefault="000425AB" w:rsidP="000425AB">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أجود التقريرات،ج1،ص450.</w:t>
      </w:r>
    </w:p>
  </w:footnote>
  <w:footnote w:id="4">
    <w:p w14:paraId="1A5CE153" w14:textId="77777777" w:rsidR="000425AB" w:rsidRDefault="000425AB" w:rsidP="000425AB">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الأُصول،ص217.</w:t>
      </w:r>
    </w:p>
  </w:footnote>
  <w:footnote w:id="5">
    <w:p w14:paraId="783CE98B" w14:textId="77777777" w:rsidR="000425AB" w:rsidRDefault="000425AB" w:rsidP="000425AB">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أجود التقريرات،ج1،ص450.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0800" w14:textId="77777777" w:rsidR="000425AB" w:rsidRDefault="00042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2659ED0A"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0425AB">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425AB">
                            <w:rPr>
                              <w:rFonts w:cs="B Mehr" w:hint="cs"/>
                              <w:rtl/>
                              <w:lang w:bidi="fa-IR"/>
                            </w:rPr>
                            <w:t>29</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2659ED0A"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0425AB">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425AB">
                      <w:rPr>
                        <w:rFonts w:cs="B Mehr" w:hint="cs"/>
                        <w:rtl/>
                        <w:lang w:bidi="fa-IR"/>
                      </w:rPr>
                      <w:t>29</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983A" w14:textId="77777777" w:rsidR="000425AB" w:rsidRDefault="000425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4102</TotalTime>
  <Pages>1</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1224</cp:revision>
  <cp:lastPrinted>2025-04-15T09:36:00Z</cp:lastPrinted>
  <dcterms:created xsi:type="dcterms:W3CDTF">2022-10-16T08:36:00Z</dcterms:created>
  <dcterms:modified xsi:type="dcterms:W3CDTF">2025-10-21T15:22:00Z</dcterms:modified>
</cp:coreProperties>
</file>