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95A65" w14:textId="77777777" w:rsidR="002D5A82" w:rsidRDefault="002D5A82" w:rsidP="002D5A82">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4DBDD0B2" w14:textId="77777777" w:rsidR="002D5A82" w:rsidRDefault="002D5A82" w:rsidP="002D5A82">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05FC2E2F" w14:textId="77777777" w:rsidR="002D5A82" w:rsidRDefault="002D5A82" w:rsidP="002D5A82">
      <w:pPr>
        <w:widowControl w:val="0"/>
        <w:bidi/>
        <w:spacing w:after="240"/>
        <w:jc w:val="center"/>
        <w:rPr>
          <w:rFonts w:cs="B Mitra" w:hint="cs"/>
          <w:b/>
          <w:bCs/>
          <w:sz w:val="32"/>
          <w:szCs w:val="32"/>
          <w:rtl/>
          <w:lang w:bidi="fa-IR"/>
        </w:rPr>
      </w:pPr>
      <w:r>
        <w:rPr>
          <w:rFonts w:cs="B Mitra" w:hint="cs"/>
          <w:b/>
          <w:bCs/>
          <w:sz w:val="32"/>
          <w:szCs w:val="32"/>
          <w:rtl/>
          <w:lang w:bidi="fa-IR"/>
        </w:rPr>
        <w:t>جلسه 955</w:t>
      </w:r>
    </w:p>
    <w:bookmarkEnd w:id="0"/>
    <w:p w14:paraId="36847BAB" w14:textId="77777777" w:rsidR="002D5A82" w:rsidRDefault="002D5A82" w:rsidP="002D5A82">
      <w:pPr>
        <w:widowControl w:val="0"/>
        <w:tabs>
          <w:tab w:val="num" w:pos="1440"/>
        </w:tabs>
        <w:bidi/>
        <w:spacing w:before="240"/>
        <w:ind w:firstLine="289"/>
        <w:jc w:val="both"/>
        <w:rPr>
          <w:rFonts w:cs="2  Mitra" w:hint="cs"/>
          <w:sz w:val="28"/>
          <w:szCs w:val="28"/>
          <w:rtl/>
        </w:rPr>
      </w:pPr>
    </w:p>
    <w:p w14:paraId="13892A9D" w14:textId="77777777" w:rsidR="002D5A82" w:rsidRDefault="002D5A82" w:rsidP="002D5A82">
      <w:pPr>
        <w:widowControl w:val="0"/>
        <w:bidi/>
        <w:spacing w:before="240" w:line="249" w:lineRule="auto"/>
        <w:ind w:firstLine="289"/>
        <w:jc w:val="both"/>
        <w:rPr>
          <w:rFonts w:cs="B Mitra" w:hint="cs"/>
          <w:spacing w:val="-4"/>
          <w:sz w:val="28"/>
          <w:szCs w:val="28"/>
          <w:rtl/>
          <w:lang w:bidi="fa-IR"/>
        </w:rPr>
      </w:pPr>
      <w:r>
        <w:rPr>
          <w:rFonts w:cs="B Mitra" w:hint="cs"/>
          <w:spacing w:val="-4"/>
          <w:sz w:val="28"/>
          <w:szCs w:val="28"/>
          <w:rtl/>
          <w:lang w:bidi="fa-IR"/>
        </w:rPr>
        <w:t>جلسه قبل نحوه افاده عموم توسط نکره در سياق نهی را بيان کرديم و گفتيم که منشأ عموم مذکور، اطلاق دليل است نه وضع.</w:t>
      </w:r>
    </w:p>
    <w:p w14:paraId="10347432" w14:textId="77777777" w:rsidR="002D5A82" w:rsidRDefault="002D5A82" w:rsidP="002D5A82">
      <w:pPr>
        <w:widowControl w:val="0"/>
        <w:bidi/>
        <w:spacing w:before="240"/>
        <w:ind w:firstLine="289"/>
        <w:jc w:val="both"/>
        <w:rPr>
          <w:rFonts w:cs="2  Mitra" w:hint="cs"/>
          <w:sz w:val="28"/>
          <w:szCs w:val="28"/>
          <w:rtl/>
          <w:lang w:bidi="fa-IR"/>
        </w:rPr>
      </w:pPr>
      <w:r>
        <w:rPr>
          <w:rFonts w:cs="2  Mitra" w:hint="cs"/>
          <w:sz w:val="28"/>
          <w:szCs w:val="28"/>
          <w:rtl/>
          <w:lang w:bidi="fa-IR"/>
        </w:rPr>
        <w:t>اما در مورد نفی، آنچه که می</w:t>
      </w:r>
      <w:r>
        <w:rPr>
          <w:rFonts w:cs="2  Mitra" w:hint="cs"/>
          <w:sz w:val="28"/>
          <w:szCs w:val="28"/>
          <w:rtl/>
          <w:lang w:bidi="fa-IR"/>
        </w:rPr>
        <w:softHyphen/>
        <w:t>توان گفت به مانند همان چيزی است که در خصوص نحوه افاده عموم در عبارت: «لا تکرم الفاسق» گذشت، بدين معنا که چون نکره</w:t>
      </w:r>
      <w:r>
        <w:rPr>
          <w:rFonts w:cs="2  Mitra" w:hint="cs"/>
          <w:sz w:val="28"/>
          <w:szCs w:val="28"/>
          <w:rtl/>
          <w:lang w:bidi="fa-IR"/>
        </w:rPr>
        <w:softHyphen/>
        <w:t>ای که در سياق نفی واقع می</w:t>
      </w:r>
      <w:r>
        <w:rPr>
          <w:rFonts w:cs="2  Mitra" w:hint="cs"/>
          <w:sz w:val="28"/>
          <w:szCs w:val="28"/>
          <w:rtl/>
          <w:lang w:bidi="fa-IR"/>
        </w:rPr>
        <w:softHyphen/>
        <w:t>شود ـ مثل: «</w:t>
      </w:r>
      <w:r>
        <w:rPr>
          <w:rFonts w:cs="Abz-2 (Badr)" w:hint="cs"/>
          <w:sz w:val="28"/>
          <w:szCs w:val="28"/>
          <w:rtl/>
          <w:lang w:bidi="fa-IR"/>
        </w:rPr>
        <w:t>لا رجل في الدار</w:t>
      </w:r>
      <w:r>
        <w:rPr>
          <w:rFonts w:cs="2  Mitra" w:hint="cs"/>
          <w:sz w:val="28"/>
          <w:szCs w:val="28"/>
          <w:rtl/>
          <w:lang w:bidi="fa-IR"/>
        </w:rPr>
        <w:t>» يا «</w:t>
      </w:r>
      <w:r>
        <w:rPr>
          <w:rFonts w:cs="Abz-2 (Badr)" w:hint="cs"/>
          <w:sz w:val="28"/>
          <w:szCs w:val="28"/>
          <w:rtl/>
          <w:lang w:bidi="fa-IR"/>
        </w:rPr>
        <w:t>ليس في الدار رجل</w:t>
      </w:r>
      <w:r>
        <w:rPr>
          <w:rFonts w:cs="2  Mitra" w:hint="cs"/>
          <w:sz w:val="28"/>
          <w:szCs w:val="28"/>
          <w:rtl/>
          <w:lang w:bidi="fa-IR"/>
        </w:rPr>
        <w:t>» ـ دلالت بر نفی جنس می</w:t>
      </w:r>
      <w:r>
        <w:rPr>
          <w:rFonts w:cs="2  Mitra" w:hint="cs"/>
          <w:sz w:val="28"/>
          <w:szCs w:val="28"/>
          <w:rtl/>
          <w:lang w:bidi="fa-IR"/>
        </w:rPr>
        <w:softHyphen/>
        <w:t>کند و لازمه نفی جنس اين است که تمام افرادی که طبیعت می</w:t>
      </w:r>
      <w:r>
        <w:rPr>
          <w:rFonts w:cs="2  Mitra" w:hint="cs"/>
          <w:sz w:val="28"/>
          <w:szCs w:val="28"/>
          <w:rtl/>
          <w:lang w:bidi="fa-IR"/>
        </w:rPr>
        <w:softHyphen/>
        <w:t>تواند در ضمن آنها محقق شود، منتفی گردند، از اين رو اين گونه ترکيب</w:t>
      </w:r>
      <w:r>
        <w:rPr>
          <w:rFonts w:cs="2  Mitra" w:hint="cs"/>
          <w:sz w:val="28"/>
          <w:szCs w:val="28"/>
          <w:rtl/>
          <w:lang w:bidi="fa-IR"/>
        </w:rPr>
        <w:softHyphen/>
        <w:t>ها دلالت بر انتفاء جميع افراد طبيعت دارند.</w:t>
      </w:r>
    </w:p>
    <w:p w14:paraId="475A6D9E" w14:textId="77777777" w:rsidR="002D5A82" w:rsidRDefault="002D5A82" w:rsidP="002D5A82">
      <w:pPr>
        <w:widowControl w:val="0"/>
        <w:bidi/>
        <w:spacing w:before="240"/>
        <w:ind w:firstLine="289"/>
        <w:jc w:val="both"/>
        <w:rPr>
          <w:rFonts w:cs="2  Mitra" w:hint="cs"/>
          <w:sz w:val="28"/>
          <w:szCs w:val="28"/>
          <w:rtl/>
          <w:lang w:bidi="fa-IR"/>
        </w:rPr>
      </w:pPr>
      <w:r>
        <w:rPr>
          <w:rFonts w:cs="2  Mitra" w:hint="cs"/>
          <w:sz w:val="28"/>
          <w:szCs w:val="28"/>
          <w:rtl/>
        </w:rPr>
        <w:t>اما حتی اگر از همه‌ی آنچه پیش‌تر بیان شد صرف‌نظر کنیم، باز هم احتساب «نکره در سیاق نهی یا نفی» در شمار صیغه‌های عموم، با اشکال آشکاری روبه‌رو است؛ زیرا بنابر مبنای مرحوم آخوند، عموم مستفاد از این ساختار به حکم عقل ثابت می‌شود، و در این صورت از محل بحث ما خارج خواهد بود؛ چراکه بحث در این مقام اختصاص به عموم وضعی دارد که مربوط به مرحله دلالت تصوریه است، در حالی که عموم ناشی از حکم عقل مربوط به مرحله دلالت تصديقيه می</w:t>
      </w:r>
      <w:r>
        <w:rPr>
          <w:rFonts w:cs="2  Mitra" w:hint="cs"/>
          <w:sz w:val="28"/>
          <w:szCs w:val="28"/>
          <w:rtl/>
        </w:rPr>
        <w:softHyphen/>
        <w:t>باشد</w:t>
      </w:r>
      <w:r>
        <w:rPr>
          <w:rFonts w:cs="2  Mitra" w:hint="cs"/>
          <w:sz w:val="28"/>
          <w:szCs w:val="28"/>
          <w:rtl/>
          <w:lang w:bidi="fa-IR"/>
        </w:rPr>
        <w:t>.</w:t>
      </w:r>
    </w:p>
    <w:p w14:paraId="732C1CDD" w14:textId="77777777" w:rsidR="002D5A82" w:rsidRDefault="002D5A82" w:rsidP="002D5A82">
      <w:pPr>
        <w:widowControl w:val="0"/>
        <w:tabs>
          <w:tab w:val="num" w:pos="1440"/>
        </w:tabs>
        <w:bidi/>
        <w:spacing w:before="240"/>
        <w:ind w:firstLine="289"/>
        <w:jc w:val="both"/>
        <w:rPr>
          <w:rFonts w:ascii="Neirizi" w:hAnsi="Neirizi" w:cs="Neirizi" w:hint="cs"/>
          <w:spacing w:val="14"/>
          <w:sz w:val="24"/>
          <w:szCs w:val="24"/>
          <w:rtl/>
          <w:lang w:bidi="fa-IR"/>
        </w:rPr>
      </w:pPr>
      <w:r>
        <w:rPr>
          <w:rFonts w:ascii="Neirizi" w:hAnsi="Neirizi" w:cs="Neirizi"/>
          <w:spacing w:val="14"/>
          <w:sz w:val="24"/>
          <w:szCs w:val="24"/>
          <w:rtl/>
          <w:lang w:bidi="fa-IR"/>
        </w:rPr>
        <w:t xml:space="preserve">2 </w:t>
      </w:r>
      <w:r>
        <w:rPr>
          <w:rFonts w:ascii="Neirizi" w:hAnsi="Neirizi" w:cs="Neirizi"/>
          <w:sz w:val="24"/>
          <w:szCs w:val="24"/>
          <w:rtl/>
          <w:lang w:bidi="fa-IR"/>
        </w:rPr>
        <w:t>ـــ</w:t>
      </w:r>
      <w:r>
        <w:rPr>
          <w:rFonts w:ascii="Neirizi" w:hAnsi="Neirizi" w:cs="Neirizi"/>
          <w:spacing w:val="14"/>
          <w:sz w:val="24"/>
          <w:szCs w:val="24"/>
          <w:rtl/>
          <w:lang w:bidi="fa-IR"/>
        </w:rPr>
        <w:t xml:space="preserve"> لفظ «کل»</w:t>
      </w:r>
    </w:p>
    <w:p w14:paraId="7E5C3BA6" w14:textId="77777777" w:rsidR="002D5A82" w:rsidRDefault="002D5A82" w:rsidP="002D5A82">
      <w:pPr>
        <w:widowControl w:val="0"/>
        <w:bidi/>
        <w:spacing w:before="240"/>
        <w:ind w:firstLine="289"/>
        <w:jc w:val="both"/>
        <w:rPr>
          <w:rFonts w:cs="2  Mitra"/>
          <w:sz w:val="28"/>
          <w:szCs w:val="28"/>
          <w:rtl/>
          <w:lang w:bidi="fa-IR"/>
        </w:rPr>
      </w:pPr>
      <w:r>
        <w:rPr>
          <w:rFonts w:cs="2  Mitra" w:hint="cs"/>
          <w:sz w:val="28"/>
          <w:szCs w:val="28"/>
          <w:rtl/>
          <w:lang w:bidi="fa-IR"/>
        </w:rPr>
        <w:t>در دلالت لفظ «کل» بر عموم اشکالی وجود ندارد. آنچه که در خصوص اين لفظ محل مناقشه است دو مطلب است:</w:t>
      </w:r>
      <w:r>
        <w:rPr>
          <w:rFonts w:cs="2  Mitra" w:hint="cs"/>
          <w:sz w:val="28"/>
          <w:szCs w:val="28"/>
          <w:rtl/>
          <w:lang w:bidi="fa-IR"/>
        </w:rPr>
        <w:br/>
        <w:t>1 ـ استغراقی يا مجموعی بودن عموم مستفاد از آن 2 ـ نحوه دلالت آن بر عموم.</w:t>
      </w:r>
    </w:p>
    <w:p w14:paraId="336948C4" w14:textId="77777777" w:rsidR="002D5A82" w:rsidRDefault="002D5A82" w:rsidP="002D5A82">
      <w:pPr>
        <w:widowControl w:val="0"/>
        <w:bidi/>
        <w:spacing w:before="240"/>
        <w:ind w:firstLine="289"/>
        <w:jc w:val="both"/>
        <w:rPr>
          <w:rFonts w:cs="2  Mitra" w:hint="cs"/>
          <w:spacing w:val="-4"/>
          <w:sz w:val="28"/>
          <w:szCs w:val="28"/>
          <w:rtl/>
          <w:lang w:bidi="fa-IR"/>
        </w:rPr>
      </w:pPr>
      <w:r>
        <w:rPr>
          <w:rFonts w:cs="2  Mitra" w:hint="cs"/>
          <w:spacing w:val="-4"/>
          <w:sz w:val="28"/>
          <w:szCs w:val="28"/>
          <w:rtl/>
        </w:rPr>
        <w:t>در جهت اول، می‌توان گفت که لفظ «کل» گاهی دلالت بر عموم استغراقی دارد و گاهی بر عموم مجموعی؛ برای مثال در «</w:t>
      </w:r>
      <w:r>
        <w:rPr>
          <w:rFonts w:cs="Abz-2 (Badr)" w:hint="cs"/>
          <w:spacing w:val="-4"/>
          <w:sz w:val="28"/>
          <w:szCs w:val="28"/>
          <w:rtl/>
        </w:rPr>
        <w:t>أکرم کلّ عالم</w:t>
      </w:r>
      <w:r>
        <w:rPr>
          <w:rFonts w:cs="2  Mitra" w:hint="cs"/>
          <w:spacing w:val="-4"/>
          <w:sz w:val="28"/>
          <w:szCs w:val="28"/>
          <w:rtl/>
        </w:rPr>
        <w:t>»، عموم استغراقی فهمیده می‌شود، در حالی که در «</w:t>
      </w:r>
      <w:r>
        <w:rPr>
          <w:rFonts w:cs="Abz-2 (Badr)" w:hint="cs"/>
          <w:spacing w:val="-4"/>
          <w:sz w:val="28"/>
          <w:szCs w:val="28"/>
          <w:rtl/>
        </w:rPr>
        <w:t>اقرأ کلّ الکتاب</w:t>
      </w:r>
      <w:r>
        <w:rPr>
          <w:rFonts w:cs="2  Mitra" w:hint="cs"/>
          <w:spacing w:val="-4"/>
          <w:sz w:val="28"/>
          <w:szCs w:val="28"/>
          <w:rtl/>
        </w:rPr>
        <w:t>»، عموم مجموعی اراده شده است</w:t>
      </w:r>
      <w:r>
        <w:rPr>
          <w:rFonts w:cs="2  Mitra" w:hint="cs"/>
          <w:spacing w:val="-4"/>
          <w:sz w:val="28"/>
          <w:szCs w:val="28"/>
          <w:rtl/>
          <w:lang w:bidi="fa-IR"/>
        </w:rPr>
        <w:t>.</w:t>
      </w:r>
    </w:p>
    <w:p w14:paraId="69194B9C" w14:textId="77777777" w:rsidR="002D5A82" w:rsidRDefault="002D5A82" w:rsidP="002D5A82">
      <w:pPr>
        <w:widowControl w:val="0"/>
        <w:bidi/>
        <w:spacing w:before="240"/>
        <w:ind w:firstLine="289"/>
        <w:jc w:val="both"/>
        <w:rPr>
          <w:rFonts w:cs="2  Mitra" w:hint="cs"/>
          <w:sz w:val="28"/>
          <w:szCs w:val="28"/>
          <w:rtl/>
        </w:rPr>
      </w:pPr>
      <w:r>
        <w:rPr>
          <w:rFonts w:cs="2  Mitra" w:hint="cs"/>
          <w:sz w:val="28"/>
          <w:szCs w:val="28"/>
          <w:rtl/>
        </w:rPr>
        <w:t xml:space="preserve">مرحوم شهید صدر </w:t>
      </w:r>
      <w:r>
        <w:rPr>
          <w:rFonts w:cs="2  Mitra" w:hint="cs"/>
          <w:sz w:val="28"/>
          <w:szCs w:val="28"/>
          <w:rtl/>
          <w:lang w:bidi="fa-IR"/>
        </w:rPr>
        <w:t>در بيان ضابطه</w:t>
      </w:r>
      <w:r>
        <w:rPr>
          <w:rFonts w:cs="2  Mitra" w:hint="cs"/>
          <w:sz w:val="28"/>
          <w:szCs w:val="28"/>
          <w:rtl/>
          <w:lang w:bidi="fa-IR"/>
        </w:rPr>
        <w:softHyphen/>
        <w:t>ای برای اين مطلب می</w:t>
      </w:r>
      <w:r>
        <w:rPr>
          <w:rFonts w:cs="2  Mitra" w:hint="cs"/>
          <w:sz w:val="28"/>
          <w:szCs w:val="28"/>
          <w:rtl/>
          <w:lang w:bidi="fa-IR"/>
        </w:rPr>
        <w:softHyphen/>
        <w:t xml:space="preserve">فرماید: </w:t>
      </w:r>
      <w:r>
        <w:rPr>
          <w:rFonts w:cs="2  Mitra" w:hint="cs"/>
          <w:sz w:val="28"/>
          <w:szCs w:val="28"/>
          <w:rtl/>
        </w:rPr>
        <w:t xml:space="preserve">اصل در واژه «کلّ» استیعاب اجزاء است نه افراد؛ زیرا </w:t>
      </w:r>
      <w:r>
        <w:rPr>
          <w:rFonts w:cs="2  Mitra" w:hint="cs"/>
          <w:sz w:val="28"/>
          <w:szCs w:val="28"/>
          <w:rtl/>
        </w:rPr>
        <w:lastRenderedPageBreak/>
        <w:t>مدخول آن ـ هر چه باشد ـ حکایت از اجزاء خودش می‌کند نه از افرادش. و همین نکته سبب می‌شود که وقتی «کلّ» بر اسم عدد معرّف ـ و بلکه بر هر معرفه‌ای ـ وارد شود، دلالت بر استیعاب اجزاء کند نه استیعاب افراد.</w:t>
      </w:r>
    </w:p>
    <w:p w14:paraId="0A7699A9" w14:textId="77777777" w:rsidR="002D5A82" w:rsidRDefault="002D5A82" w:rsidP="002D5A82">
      <w:pPr>
        <w:widowControl w:val="0"/>
        <w:bidi/>
        <w:spacing w:before="240" w:line="252" w:lineRule="auto"/>
        <w:ind w:firstLine="289"/>
        <w:jc w:val="both"/>
        <w:rPr>
          <w:rFonts w:cs="2  Mitra"/>
          <w:sz w:val="28"/>
          <w:szCs w:val="28"/>
        </w:rPr>
      </w:pPr>
      <w:r>
        <w:rPr>
          <w:rFonts w:cs="2  Mitra" w:hint="cs"/>
          <w:sz w:val="28"/>
          <w:szCs w:val="28"/>
          <w:rtl/>
        </w:rPr>
        <w:t>اما آنچه از بررسی ظهورات برمی‌آید، این است که «کلّ» همیشه با بدلیت مدخول خود معارض است؛ یعنی اگر مدخول، دلالت بر بدلیت داشته باشد، «کلّ» این بدلیت را از بین می‌برد. پس سرّ تفاوتی که بین دخول «کلّ» بر معرفه یا نکره وجود دارد و در مورد اول، افاده استيعاب اجزاء می</w:t>
      </w:r>
      <w:r>
        <w:rPr>
          <w:rFonts w:cs="2  Mitra" w:hint="cs"/>
          <w:sz w:val="28"/>
          <w:szCs w:val="28"/>
          <w:rtl/>
        </w:rPr>
        <w:softHyphen/>
        <w:t>کند در حالی که در مورد دوم، استيعاب افراد را می</w:t>
      </w:r>
      <w:r>
        <w:rPr>
          <w:rFonts w:cs="2  Mitra" w:hint="cs"/>
          <w:sz w:val="28"/>
          <w:szCs w:val="28"/>
          <w:rtl/>
        </w:rPr>
        <w:softHyphen/>
        <w:t>رساند، این است که نکره به خودی خود اقتضای بدلیت دارد، ولی معرفه چنین اقتضایی ندارد.</w:t>
      </w:r>
    </w:p>
    <w:p w14:paraId="02F190C9" w14:textId="77777777" w:rsidR="002D5A82" w:rsidRDefault="002D5A82" w:rsidP="002D5A82">
      <w:pPr>
        <w:widowControl w:val="0"/>
        <w:bidi/>
        <w:spacing w:before="240" w:line="252" w:lineRule="auto"/>
        <w:ind w:firstLine="289"/>
        <w:jc w:val="both"/>
        <w:rPr>
          <w:rFonts w:cs="2  Mitra" w:hint="cs"/>
          <w:sz w:val="28"/>
          <w:szCs w:val="28"/>
          <w:rtl/>
        </w:rPr>
      </w:pPr>
      <w:r>
        <w:rPr>
          <w:rFonts w:cs="2  Mitra" w:hint="cs"/>
          <w:sz w:val="28"/>
          <w:szCs w:val="28"/>
          <w:rtl/>
        </w:rPr>
        <w:t>و روشن است که اشکالی به کلام ما به واسطه آیه‌ی شريفه</w:t>
      </w:r>
      <w:r>
        <w:rPr>
          <w:rFonts w:cs="2  Mitra" w:hint="cs"/>
          <w:sz w:val="28"/>
          <w:szCs w:val="28"/>
          <w:rtl/>
        </w:rPr>
        <w:softHyphen/>
        <w:t xml:space="preserve">ی: </w:t>
      </w:r>
      <w:r>
        <w:rPr>
          <w:rFonts w:cs="QuranTaha" w:hint="cs"/>
          <w:sz w:val="26"/>
          <w:szCs w:val="26"/>
          <w:rtl/>
        </w:rPr>
        <w:t>«كُلُّ الطَّعَامِ كَانَ حِلًّا لِّبَنِی إِسْرَائِيلَ»</w:t>
      </w:r>
      <w:r>
        <w:rPr>
          <w:rStyle w:val="FootnoteReference"/>
          <w:rFonts w:cs="2  Mitra"/>
          <w:spacing w:val="-2"/>
          <w:sz w:val="28"/>
          <w:szCs w:val="28"/>
          <w:rtl/>
        </w:rPr>
        <w:footnoteReference w:id="2"/>
      </w:r>
      <w:r>
        <w:rPr>
          <w:rFonts w:cs="2  Mitra" w:hint="cs"/>
          <w:sz w:val="28"/>
          <w:szCs w:val="28"/>
          <w:rtl/>
        </w:rPr>
        <w:t xml:space="preserve"> با این ادعا که «کلّ» در این آیه استیعاب افراد را می‌رساند در حالی که بر معرفه وارد شده است، وارد نمی</w:t>
      </w:r>
      <w:r>
        <w:rPr>
          <w:rFonts w:cs="2  Mitra" w:hint="cs"/>
          <w:sz w:val="28"/>
          <w:szCs w:val="28"/>
          <w:rtl/>
        </w:rPr>
        <w:softHyphen/>
        <w:t>شود؛ زیرا مفهوم «طعام» از مفاهیمی است که می‌توان افراد آن را اجزاء آن دانست؛ یعنی صدق آن بر کثیر مانند صدق آن بر قلیل است، نظیر مفهوم «ماء». و هر مفهومی که چنین باشد، دخول «کلّ» بر آن دلالت بر استیعاب همه می‌کند، مانند «</w:t>
      </w:r>
      <w:r>
        <w:rPr>
          <w:rFonts w:cs="Abz-2 (Badr)" w:hint="cs"/>
          <w:sz w:val="28"/>
          <w:szCs w:val="28"/>
          <w:rtl/>
        </w:rPr>
        <w:t>کلّ الماء حلال شربه</w:t>
      </w:r>
      <w:r>
        <w:rPr>
          <w:rFonts w:cs="2  Mitra" w:hint="cs"/>
          <w:sz w:val="28"/>
          <w:szCs w:val="28"/>
          <w:rtl/>
        </w:rPr>
        <w:t>» یا «</w:t>
      </w:r>
      <w:r>
        <w:rPr>
          <w:rFonts w:cs="Abz-2 (Badr)" w:hint="cs"/>
          <w:sz w:val="28"/>
          <w:szCs w:val="28"/>
          <w:rtl/>
        </w:rPr>
        <w:t>کلّ الجبن حلال أكله</w:t>
      </w:r>
      <w:r>
        <w:rPr>
          <w:rFonts w:cs="2  Mitra" w:hint="cs"/>
          <w:sz w:val="28"/>
          <w:szCs w:val="28"/>
          <w:rtl/>
        </w:rPr>
        <w:t>».</w:t>
      </w:r>
      <w:r>
        <w:rPr>
          <w:rStyle w:val="FootnoteReference"/>
          <w:rFonts w:cs="2  Mitra"/>
          <w:spacing w:val="-2"/>
          <w:sz w:val="28"/>
          <w:szCs w:val="28"/>
          <w:rtl/>
        </w:rPr>
        <w:footnoteReference w:id="3"/>
      </w:r>
    </w:p>
    <w:p w14:paraId="084C1ED4" w14:textId="77777777" w:rsidR="002D5A82" w:rsidRDefault="002D5A82" w:rsidP="002D5A82">
      <w:pPr>
        <w:widowControl w:val="0"/>
        <w:bidi/>
        <w:spacing w:before="240" w:line="252" w:lineRule="auto"/>
        <w:ind w:firstLine="289"/>
        <w:jc w:val="both"/>
        <w:rPr>
          <w:rFonts w:cs="2  Mitra" w:hint="cs"/>
          <w:sz w:val="28"/>
          <w:szCs w:val="28"/>
          <w:rtl/>
        </w:rPr>
      </w:pPr>
      <w:r>
        <w:rPr>
          <w:rFonts w:cs="2  Mitra" w:hint="cs"/>
          <w:sz w:val="28"/>
          <w:szCs w:val="28"/>
          <w:rtl/>
        </w:rPr>
        <w:t>اما اشکالاتی که به فرمايش ايشان وارد است به قرار ذيل است:</w:t>
      </w:r>
    </w:p>
    <w:p w14:paraId="6B475A25" w14:textId="77777777" w:rsidR="002D5A82" w:rsidRDefault="002D5A82" w:rsidP="002D5A82">
      <w:pPr>
        <w:widowControl w:val="0"/>
        <w:bidi/>
        <w:spacing w:before="240" w:line="252" w:lineRule="auto"/>
        <w:ind w:firstLine="289"/>
        <w:jc w:val="both"/>
        <w:rPr>
          <w:rFonts w:cs="2  Mitra" w:hint="cs"/>
          <w:sz w:val="28"/>
          <w:szCs w:val="28"/>
          <w:rtl/>
        </w:rPr>
      </w:pPr>
      <w:r>
        <w:rPr>
          <w:rFonts w:cs="2  Mitra" w:hint="cs"/>
          <w:sz w:val="28"/>
          <w:szCs w:val="28"/>
          <w:rtl/>
        </w:rPr>
        <w:t>1 ـ مدعای ايشان در خصوص مقتضای اصل در مدلول لفظ «کل»، ناشی از خلط بين معنای اصطلاحی ـ يعنی معنایی که در برابر «جزء» می</w:t>
      </w:r>
      <w:r>
        <w:rPr>
          <w:rFonts w:cs="2  Mitra" w:hint="cs"/>
          <w:sz w:val="28"/>
          <w:szCs w:val="28"/>
          <w:rtl/>
        </w:rPr>
        <w:softHyphen/>
        <w:t>باشد، بر خلاف «کلی» که در برابر «فرد» است ـ و معنای موضوع له آن می</w:t>
      </w:r>
      <w:r>
        <w:rPr>
          <w:rFonts w:cs="2  Mitra" w:hint="cs"/>
          <w:sz w:val="28"/>
          <w:szCs w:val="28"/>
          <w:rtl/>
        </w:rPr>
        <w:softHyphen/>
        <w:t>باشد و همچنان که سابقاً گذشت، معنای موضوع له لفظ «کلّ» چيزی بجز «تک تک افراد مدخول» نمی</w:t>
      </w:r>
      <w:r>
        <w:rPr>
          <w:rFonts w:cs="2  Mitra" w:hint="cs"/>
          <w:sz w:val="28"/>
          <w:szCs w:val="28"/>
          <w:rtl/>
        </w:rPr>
        <w:softHyphen/>
        <w:t>باشد.</w:t>
      </w:r>
    </w:p>
    <w:p w14:paraId="2B5A37F1" w14:textId="77777777" w:rsidR="002D5A82" w:rsidRDefault="002D5A82" w:rsidP="002D5A82">
      <w:pPr>
        <w:widowControl w:val="0"/>
        <w:bidi/>
        <w:spacing w:before="240" w:line="252" w:lineRule="auto"/>
        <w:ind w:firstLine="289"/>
        <w:jc w:val="both"/>
        <w:rPr>
          <w:rFonts w:cs="2  Mitra" w:hint="cs"/>
          <w:sz w:val="28"/>
          <w:szCs w:val="28"/>
          <w:rtl/>
        </w:rPr>
      </w:pPr>
      <w:r>
        <w:rPr>
          <w:rFonts w:cs="2  Mitra" w:hint="cs"/>
          <w:sz w:val="28"/>
          <w:szCs w:val="28"/>
          <w:rtl/>
        </w:rPr>
        <w:t>اما اين که مدخول «کل» در هر حال حکايت از اجزاء خود می</w:t>
      </w:r>
      <w:r>
        <w:rPr>
          <w:rFonts w:cs="2  Mitra" w:hint="cs"/>
          <w:sz w:val="28"/>
          <w:szCs w:val="28"/>
          <w:rtl/>
        </w:rPr>
        <w:softHyphen/>
        <w:t>کند، فقط در مدخولی که مرکب ذات اجزاء باشد صحيح است و در غير اين موارد ـ مانند: «عالم» يا «انسان» ـ اين مدعا وجهی ندارد. دلالت «کل» بر استيعاب اجزاء نيز فقط در اسامی معرفه</w:t>
      </w:r>
      <w:r>
        <w:rPr>
          <w:rFonts w:cs="2  Mitra" w:hint="cs"/>
          <w:sz w:val="28"/>
          <w:szCs w:val="28"/>
          <w:rtl/>
        </w:rPr>
        <w:softHyphen/>
        <w:t xml:space="preserve">ای است که لام تعريف در آنها برای عهد ذهنی يا ذکری باشد و در اين موارد نيز همان گونه که سابقاً گذشت، ورود «کل» بر مدخول به اعتبار اين است که هر جزء مرکب به عنوان فردی از کلی جزء مرکب مد نظر قرار گرفته است. </w:t>
      </w:r>
    </w:p>
    <w:p w14:paraId="3F20E281" w14:textId="77777777" w:rsidR="002D5A82" w:rsidRDefault="002D5A82" w:rsidP="002D5A82">
      <w:pPr>
        <w:widowControl w:val="0"/>
        <w:bidi/>
        <w:spacing w:before="240" w:line="252" w:lineRule="auto"/>
        <w:ind w:firstLine="289"/>
        <w:jc w:val="both"/>
        <w:rPr>
          <w:rFonts w:cs="2  Mitra"/>
          <w:sz w:val="28"/>
          <w:szCs w:val="28"/>
          <w:lang w:bidi="fa-IR"/>
        </w:rPr>
      </w:pPr>
      <w:r>
        <w:rPr>
          <w:rFonts w:cs="2  Mitra" w:hint="cs"/>
          <w:sz w:val="28"/>
          <w:szCs w:val="28"/>
          <w:rtl/>
          <w:lang w:bidi="fa-IR"/>
        </w:rPr>
        <w:lastRenderedPageBreak/>
        <w:t>2 ـ رابطه بين نفی بدلیت موجود در نکره به واسطه ورود لفظ «کل» بر آن و عدم افاده چنين مطلبی در معرفه</w:t>
      </w:r>
      <w:r>
        <w:rPr>
          <w:rFonts w:cs="2  Mitra" w:hint="cs"/>
          <w:sz w:val="28"/>
          <w:szCs w:val="28"/>
          <w:rtl/>
          <w:lang w:bidi="fa-IR"/>
        </w:rPr>
        <w:softHyphen/>
        <w:t>ای که «کل» بر سر آن در آمده است با اين که در مورد اول، «کل» افاده عموم استغراقی کند و در مورد دوم افاده عموم مجموعی، معلوم نيست و توضيحی در اين خصوص داده نشده است.</w:t>
      </w:r>
    </w:p>
    <w:p w14:paraId="6B9E536A" w14:textId="77777777" w:rsidR="002D5A82" w:rsidRDefault="002D5A82" w:rsidP="002D5A82">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ظاهراً ايشان عموم مجموعی را فقط در خصوص استيعاب اجزاء قابل تصور دانسته</w:t>
      </w:r>
      <w:r>
        <w:rPr>
          <w:rFonts w:cs="2  Mitra" w:hint="cs"/>
          <w:sz w:val="28"/>
          <w:szCs w:val="28"/>
          <w:rtl/>
          <w:lang w:bidi="fa-IR"/>
        </w:rPr>
        <w:softHyphen/>
        <w:t>اند، فلذا در جايی که لفظ نکره دلالت بر بدليت بين افراد نمايد، ورود کلّ را مستلزم دلالت بر عموم استغراقی دانسته</w:t>
      </w:r>
      <w:r>
        <w:rPr>
          <w:rFonts w:cs="2  Mitra" w:hint="cs"/>
          <w:sz w:val="28"/>
          <w:szCs w:val="28"/>
          <w:rtl/>
          <w:lang w:bidi="fa-IR"/>
        </w:rPr>
        <w:softHyphen/>
        <w:t>اند، در حالی که در بين افراد نيز عموم مجموعی قابل تصور است؛ مثل: «مجموع العلماء».</w:t>
      </w:r>
    </w:p>
    <w:p w14:paraId="33F30092" w14:textId="77777777" w:rsidR="002D5A82" w:rsidRDefault="002D5A82" w:rsidP="002D5A82">
      <w:pPr>
        <w:widowControl w:val="0"/>
        <w:bidi/>
        <w:spacing w:before="240" w:line="252" w:lineRule="auto"/>
        <w:ind w:firstLine="289"/>
        <w:jc w:val="both"/>
        <w:rPr>
          <w:rFonts w:cs="2  Mitra" w:hint="cs"/>
          <w:sz w:val="28"/>
          <w:szCs w:val="28"/>
          <w:rtl/>
          <w:lang w:bidi="fa-IR"/>
        </w:rPr>
      </w:pPr>
      <w:r>
        <w:rPr>
          <w:rFonts w:cs="2  Mitra" w:hint="cs"/>
          <w:sz w:val="28"/>
          <w:szCs w:val="28"/>
          <w:rtl/>
          <w:lang w:bidi="fa-IR"/>
        </w:rPr>
        <w:t>بقیه اشکالات را جلسه آينده مطرح می</w:t>
      </w:r>
      <w:r>
        <w:rPr>
          <w:rFonts w:cs="2  Mitra" w:hint="cs"/>
          <w:sz w:val="28"/>
          <w:szCs w:val="28"/>
          <w:rtl/>
          <w:lang w:bidi="fa-IR"/>
        </w:rPr>
        <w:softHyphen/>
        <w:t>کنيم.</w:t>
      </w:r>
    </w:p>
    <w:p w14:paraId="0C69ACA5" w14:textId="77777777" w:rsidR="002D5A82" w:rsidRDefault="002D5A82" w:rsidP="002D5A82">
      <w:pPr>
        <w:rPr>
          <w:rFonts w:cs="2  Mitra" w:hint="cs"/>
          <w:sz w:val="28"/>
          <w:szCs w:val="28"/>
          <w:rtl/>
          <w:lang w:bidi="fa-IR"/>
        </w:rPr>
      </w:pPr>
      <w:r>
        <w:rPr>
          <w:rFonts w:cs="2  Mitra" w:hint="cs"/>
          <w:sz w:val="28"/>
          <w:szCs w:val="28"/>
          <w:rtl/>
          <w:lang w:bidi="fa-IR"/>
        </w:rPr>
        <w:br w:type="page"/>
      </w:r>
    </w:p>
    <w:p w14:paraId="4D10F3FB" w14:textId="77777777" w:rsidR="002D5A82" w:rsidRDefault="002D5A82" w:rsidP="002D5A82">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lastRenderedPageBreak/>
        <w:t>كنّا قد بيّنا في الجلسة السابقة وجه إفادة النكرة في سياق النهي للعموم، وذكرنا أنّ منشأ هذا العموم هو الإطلاق لا الوضع</w:t>
      </w:r>
      <w:r>
        <w:rPr>
          <w:rFonts w:ascii="Amiri" w:hAnsi="Amiri" w:cs="Abz-2 (Badr)" w:hint="cs"/>
          <w:sz w:val="28"/>
          <w:szCs w:val="28"/>
          <w:rtl/>
          <w:lang w:bidi="fa-IR"/>
        </w:rPr>
        <w:t>.</w:t>
      </w:r>
    </w:p>
    <w:p w14:paraId="1E6CCD4F" w14:textId="77777777" w:rsidR="002D5A82" w:rsidRDefault="002D5A82" w:rsidP="002D5A82">
      <w:pPr>
        <w:widowControl w:val="0"/>
        <w:bidi/>
        <w:spacing w:after="0"/>
        <w:ind w:firstLine="284"/>
        <w:jc w:val="both"/>
        <w:rPr>
          <w:rFonts w:ascii="Amiri" w:hAnsi="Amiri" w:cs="Abz-2 (Badr)" w:hint="cs"/>
          <w:sz w:val="28"/>
          <w:szCs w:val="28"/>
          <w:rtl/>
          <w:lang w:bidi="fa-IR"/>
        </w:rPr>
      </w:pPr>
      <w:r>
        <w:rPr>
          <w:rFonts w:ascii="Amiri" w:hAnsi="Amiri" w:cs="Abz-2 (Badr)" w:hint="cs"/>
          <w:sz w:val="28"/>
          <w:szCs w:val="28"/>
          <w:rtl/>
        </w:rPr>
        <w:t>وأمّا في مورد النفي، فيمكن القول بمثل ما تقدّم في عبارة: «لا تكرم الفاسق»، وذلك لأنّ النكرة الواقعة في سياق النفي ـ نحو: «لا رجل في الدار» أو «ليس في الدار رجل» ـ تدلّ على نفي الجنس، ولازم نفي الجنس هو انتفاء جميع الأفراد التي يمكن أن تتحقّق فيها الطبيعة المنفيّة، فيكون مفاد مثل هذا التركيب انتفاء جميع أفراد الطبيعة.</w:t>
      </w:r>
    </w:p>
    <w:p w14:paraId="4F0D2378"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غير أنّه حتّى مع غضّ النظر عمّا تقدّم، فإنّ عدّ النكرة في سياق النفي أو النهي من صيغ العموم لا يخلو من إشكال بيّن، لأنّ العموم المستفاد من هذا التركيب ـ بناءً على مبنى الآخوند ـ إنّما يثبت بحكم العقل، وفي هذه الصورة يخرج عن محلّ البحث، إذ المقصود هنا هو العموم الوضعي المتعلّق بمرحلة الدلالة التصوّريّة، بينما العموم المستفاد من حكم العقل من شؤون مرحلة الدلالة التصديقيّة.</w:t>
      </w:r>
    </w:p>
    <w:p w14:paraId="46168F48" w14:textId="77777777" w:rsidR="002D5A82" w:rsidRDefault="002D5A82" w:rsidP="002D5A82">
      <w:pPr>
        <w:widowControl w:val="0"/>
        <w:bidi/>
        <w:spacing w:after="0"/>
        <w:ind w:firstLine="284"/>
        <w:jc w:val="both"/>
        <w:rPr>
          <w:rFonts w:ascii="Neirizi" w:hAnsi="Neirizi" w:cs="Neirizi" w:hint="cs"/>
          <w:spacing w:val="8"/>
          <w:sz w:val="24"/>
          <w:szCs w:val="24"/>
          <w:rtl/>
        </w:rPr>
      </w:pPr>
      <w:r>
        <w:rPr>
          <w:rFonts w:ascii="Neirizi" w:hAnsi="Neirizi" w:cs="Neirizi"/>
          <w:spacing w:val="8"/>
          <w:sz w:val="24"/>
          <w:szCs w:val="24"/>
          <w:rtl/>
        </w:rPr>
        <w:t>2 ـ لفظ «کلّ»</w:t>
      </w:r>
    </w:p>
    <w:p w14:paraId="6A838B14" w14:textId="77777777" w:rsidR="002D5A82" w:rsidRDefault="002D5A82" w:rsidP="002D5A82">
      <w:pPr>
        <w:widowControl w:val="0"/>
        <w:bidi/>
        <w:spacing w:after="0"/>
        <w:ind w:firstLine="284"/>
        <w:jc w:val="both"/>
        <w:rPr>
          <w:rFonts w:ascii="Amiri" w:hAnsi="Amiri" w:cs="Abz-2 (Badr)"/>
          <w:sz w:val="28"/>
          <w:szCs w:val="28"/>
          <w:rtl/>
        </w:rPr>
      </w:pPr>
      <w:r>
        <w:rPr>
          <w:rFonts w:ascii="Amiri" w:hAnsi="Amiri" w:cs="Abz-2 (Badr)" w:hint="cs"/>
          <w:sz w:val="28"/>
          <w:szCs w:val="28"/>
          <w:rtl/>
        </w:rPr>
        <w:t xml:space="preserve">لا إشكال في دلالة لفظ «كلّ» على العموم، وإنّما وقع البحث في أمرين: </w:t>
      </w:r>
      <w:r>
        <w:rPr>
          <w:rFonts w:ascii="Amiri" w:hAnsi="Amiri" w:cs="Abz-2 (Badr)"/>
          <w:sz w:val="28"/>
          <w:szCs w:val="28"/>
        </w:rPr>
        <w:t xml:space="preserve">1 </w:t>
      </w:r>
      <w:r>
        <w:rPr>
          <w:rFonts w:ascii="Amiri" w:hAnsi="Amiri" w:cs="Abz-2 (Badr)" w:hint="cs"/>
          <w:sz w:val="28"/>
          <w:szCs w:val="28"/>
          <w:rtl/>
        </w:rPr>
        <w:t xml:space="preserve"> ـ في أنّ العموم المستفاد منه هل هو استغراقي أو مجموعي، 2 ـ في كيفيّة دلالته على العموم.</w:t>
      </w:r>
    </w:p>
    <w:p w14:paraId="537B7ADF"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أمّا من الجهة الأُولى فيمكن القول بأنّ لفظ «كلّ» قد يستعمل تارة لإفادة العموم الاستغراقي، وأُخرى لإفادة العموم المجموعي؛ فمثلاً في قوله: «أكرم كلّ عالم» يفهم منه العموم الاستغراقي، بينما في قوله: «اقرأ كلّ الكتاب» يراد منه العموم المجموعي.</w:t>
      </w:r>
    </w:p>
    <w:p w14:paraId="43259979" w14:textId="77777777" w:rsidR="002D5A82" w:rsidRDefault="002D5A82" w:rsidP="002D5A82">
      <w:pPr>
        <w:widowControl w:val="0"/>
        <w:bidi/>
        <w:spacing w:after="0"/>
        <w:ind w:firstLine="284"/>
        <w:jc w:val="both"/>
        <w:rPr>
          <w:rFonts w:ascii="Amiri" w:hAnsi="Amiri" w:cs="Abz-2 (Badr)" w:hint="cs"/>
          <w:sz w:val="28"/>
          <w:szCs w:val="28"/>
          <w:rtl/>
        </w:rPr>
      </w:pPr>
      <w:r>
        <w:rPr>
          <w:rFonts w:ascii="Amiri" w:hAnsi="Amiri" w:cs="Abz-2 (Badr)" w:hint="cs"/>
          <w:sz w:val="28"/>
          <w:szCs w:val="28"/>
          <w:rtl/>
        </w:rPr>
        <w:t>ذكر الشهيد الصدر ضابطاً في دلالة لفظ «كلّ» على کلّ من العموم الاستغراقي والمجموعي فقال: إنّ الأصل في لفظ «كلّ» هو إفادة استيعاب الأجزاء لا استيعاب الأفراد؛ لأنّ مدخولها ـ أيّاً كان ـ يحكي عن أجزائه لا عن أفراده. ومن هنا إذا دخلت «كلّ» على اسم عدد معرّف ـ بل على كلّ معرّف ـ كانت دلالتها على استيعاب الأجزاء دون الأفراد.</w:t>
      </w:r>
    </w:p>
    <w:p w14:paraId="147D9658"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إلّا أنّ المستفاد من ملاحظة موارد الاستعمال أنّ «كلّ» تكون دائماً معارضةً لبدليّة مدخولها، بمعنى أنّها ترفع هذه البدليّة حيثما وجدت. ومن ثمّ يظهر أنّ السرّ في اختلاف الدلالة بين دخول «كلّ» على المعرفة ودخولها على النكرة هو أنّ النكرة تقتضي البدليّة بذاتها، بخلاف المعرفة، فإنّها لا تقتضيها.</w:t>
      </w:r>
    </w:p>
    <w:p w14:paraId="30FD6A36"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lastRenderedPageBreak/>
        <w:t xml:space="preserve">ولا يشكل على ما ذكرناه بالآية الكريمة: </w:t>
      </w:r>
      <w:r>
        <w:rPr>
          <w:rFonts w:ascii="Amiri" w:hAnsi="Amiri" w:cs="QuranTaha" w:hint="cs"/>
          <w:sz w:val="26"/>
          <w:szCs w:val="26"/>
          <w:rtl/>
        </w:rPr>
        <w:t>«كُلُّ الطَّعَامِ كَانَ حِلًّا لِّبَنِی إِسْرَائِيلَ»</w:t>
      </w:r>
      <w:r>
        <w:rPr>
          <w:rStyle w:val="FootnoteReference"/>
          <w:rFonts w:cs="Abz-2 (Badr)"/>
          <w:spacing w:val="-2"/>
          <w:sz w:val="28"/>
          <w:szCs w:val="28"/>
          <w:rtl/>
        </w:rPr>
        <w:footnoteReference w:id="4"/>
      </w:r>
      <w:r>
        <w:rPr>
          <w:rFonts w:ascii="Amiri" w:hAnsi="Amiri" w:cs="Abz-2 (Badr)" w:hint="cs"/>
          <w:sz w:val="28"/>
          <w:szCs w:val="28"/>
          <w:rtl/>
        </w:rPr>
        <w:t xml:space="preserve"> مع أنّ «كلّ» فيها قد دخلت على معرفة وأفادت استيعاب الأفراد؛ لأنّ مفهوم «الطعام» من المفاهيم التي يمكن اعتبار أفراده بمنزلة أجزائه، إذ يصدق على القليل كما يصدق على الكثير، نظير مفهوم «الماء». وكلّ مفهوم يكون كذلك فإنّ دخول «كلّ» عليه يدلّ على استيعاب الجميع، كما في قولنا: «كلّ الماء حلال شربه» أو «كلّ الجبن حلال أكله».</w:t>
      </w:r>
      <w:r>
        <w:rPr>
          <w:rStyle w:val="FootnoteReference"/>
          <w:rFonts w:cs="Abz-2 (Badr)"/>
          <w:spacing w:val="-2"/>
          <w:sz w:val="28"/>
          <w:szCs w:val="28"/>
          <w:rtl/>
        </w:rPr>
        <w:footnoteReference w:id="5"/>
      </w:r>
    </w:p>
    <w:p w14:paraId="04E074F5"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غير أنّه يمكن أن يورد على ما أفاده عدّة إشكالات:</w:t>
      </w:r>
    </w:p>
    <w:p w14:paraId="31F39E97" w14:textId="77777777" w:rsidR="002D5A82" w:rsidRDefault="002D5A82" w:rsidP="002D5A82">
      <w:pPr>
        <w:widowControl w:val="0"/>
        <w:bidi/>
        <w:spacing w:after="0"/>
        <w:ind w:firstLine="284"/>
        <w:jc w:val="both"/>
        <w:rPr>
          <w:rFonts w:ascii="Amiri" w:hAnsi="Amiri" w:cs="Abz-2 (Badr)"/>
          <w:sz w:val="28"/>
          <w:szCs w:val="28"/>
        </w:rPr>
      </w:pPr>
      <w:proofErr w:type="gramStart"/>
      <w:r>
        <w:rPr>
          <w:rFonts w:ascii="Amiri" w:hAnsi="Amiri" w:cs="Abz-2 (Badr)"/>
          <w:sz w:val="28"/>
          <w:szCs w:val="28"/>
        </w:rPr>
        <w:t xml:space="preserve">1 </w:t>
      </w:r>
      <w:r>
        <w:rPr>
          <w:rFonts w:ascii="Amiri" w:hAnsi="Amiri" w:cs="Abz-2 (Badr)" w:hint="cs"/>
          <w:sz w:val="28"/>
          <w:szCs w:val="28"/>
          <w:rtl/>
        </w:rPr>
        <w:t xml:space="preserve"> ـ</w:t>
      </w:r>
      <w:proofErr w:type="gramEnd"/>
      <w:r>
        <w:rPr>
          <w:rFonts w:ascii="Amiri" w:hAnsi="Amiri" w:cs="Abz-2 (Badr)" w:hint="cs"/>
          <w:sz w:val="28"/>
          <w:szCs w:val="28"/>
          <w:rtl/>
        </w:rPr>
        <w:t xml:space="preserve"> إنّ ما ذكره في كون الأصل في مدلول لفظ «كلّ» هو استيعاب الأجزاء دون الأفراد، ناشئ من الخلط بين المعنى الاصطلاحي للفظ «الكلّ» ـ وهو ما يقابل «الجزء» بخلاف «الكلّي» الذي يقابل «الجزئي» أو «الفرد» ـ وبين معناه الموضوع له في الاستعمال اللغوي. وقد تقدّم أنّ المعنى الموضوع له لفظ «كلّ» ليس إلّا «آحاد أفراد المدخول».</w:t>
      </w:r>
    </w:p>
    <w:p w14:paraId="6A17DA8C"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وأمّا ما ذكره من أنّ مدخول «كلّ» في جميع الموارد يحكي عن أجزائه، فإنّما يتمّ في خصوص ما إذا كان المدخول مركّباً ذا أجزاء حقيقيّة، أمّا في غير ذلك من الموارد ـ كالألفاظ الدالّة على معانٍ بسيطة مثل «العالم» و«الإنسان» ـ فلا وجه لهذا الادّعاء.</w:t>
      </w:r>
    </w:p>
    <w:p w14:paraId="302828F1"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ثمّ إنّ دلالة «كلّ» على استيعاب الأجزاء إنّما تصحّ في الأسماء المعرّفة التي تكون «اللام» فيها للعهد الذهني أو الذكري، وفي هذه الموارد أيضاً ـ كما تقدّم سابقاً ـ فإنّ دخول «كلّ» على المدخول إنّما هو بلحاظ أنّ كلّ جزء من أجزاء ذلك المركّب قد لوحظ فرداً من مفهوم «جزء المركّب».</w:t>
      </w:r>
    </w:p>
    <w:p w14:paraId="0FB7779A" w14:textId="77777777" w:rsidR="002D5A82" w:rsidRDefault="002D5A82" w:rsidP="002D5A82">
      <w:pPr>
        <w:widowControl w:val="0"/>
        <w:bidi/>
        <w:spacing w:after="0"/>
        <w:ind w:firstLine="284"/>
        <w:jc w:val="both"/>
        <w:rPr>
          <w:rFonts w:ascii="Amiri" w:hAnsi="Amiri" w:cs="Abz-2 (Badr)"/>
          <w:sz w:val="28"/>
          <w:szCs w:val="28"/>
        </w:rPr>
      </w:pPr>
      <w:proofErr w:type="gramStart"/>
      <w:r>
        <w:rPr>
          <w:rFonts w:ascii="Amiri" w:hAnsi="Amiri" w:cs="Abz-2 (Badr)"/>
          <w:sz w:val="28"/>
          <w:szCs w:val="28"/>
        </w:rPr>
        <w:t xml:space="preserve">2 </w:t>
      </w:r>
      <w:r>
        <w:rPr>
          <w:rFonts w:ascii="Amiri" w:hAnsi="Amiri" w:cs="Abz-2 (Badr)" w:hint="cs"/>
          <w:sz w:val="28"/>
          <w:szCs w:val="28"/>
          <w:rtl/>
        </w:rPr>
        <w:t xml:space="preserve"> ـ</w:t>
      </w:r>
      <w:proofErr w:type="gramEnd"/>
      <w:r>
        <w:rPr>
          <w:rFonts w:ascii="Amiri" w:hAnsi="Amiri" w:cs="Abz-2 (Badr)" w:hint="cs"/>
          <w:sz w:val="28"/>
          <w:szCs w:val="28"/>
          <w:rtl/>
        </w:rPr>
        <w:t xml:space="preserve"> إنّ العلاقة بين رفع البدليّة الموجودة في النكرة بدخول لفظ «كلّ» عليها وعدم إفادة مثل هذا المعنى في المعارف التي يدخل عليها «كلّ»، وبين كون الأُولى دالّة علی العموم الاستغراقي والثانية علی العموم المجموعي، غير واضحة، ولم يبيّن وجهها في كلامه.</w:t>
      </w:r>
    </w:p>
    <w:p w14:paraId="0C73FE74"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 xml:space="preserve">والظاهر أنّه يتصوّر العموم المجموعي في خصوص موارد استيعاب الأجزاء دون الأفراد، ولذا جعل دخول «كلّ» على النكرة المقتضية للبدليّة بين الأفراد موجباً لدلالتها على العموم الاستغراقي، مع أنّ العموم المجموعي أيضاً يمكن تصوّره بين </w:t>
      </w:r>
      <w:r>
        <w:rPr>
          <w:rFonts w:ascii="Amiri" w:hAnsi="Amiri" w:cs="Abz-2 (Badr)" w:hint="cs"/>
          <w:sz w:val="28"/>
          <w:szCs w:val="28"/>
          <w:rtl/>
        </w:rPr>
        <w:lastRenderedPageBreak/>
        <w:t>الأفراد، كما في قولنا: «مجموع العلماء».</w:t>
      </w:r>
    </w:p>
    <w:p w14:paraId="58F561C2" w14:textId="77777777" w:rsidR="002D5A82" w:rsidRDefault="002D5A82" w:rsidP="002D5A82">
      <w:pPr>
        <w:widowControl w:val="0"/>
        <w:bidi/>
        <w:spacing w:after="0"/>
        <w:ind w:firstLine="284"/>
        <w:jc w:val="both"/>
        <w:rPr>
          <w:rFonts w:ascii="Amiri" w:hAnsi="Amiri" w:cs="Abz-2 (Badr)"/>
          <w:sz w:val="28"/>
          <w:szCs w:val="28"/>
        </w:rPr>
      </w:pPr>
      <w:r>
        <w:rPr>
          <w:rFonts w:ascii="Amiri" w:hAnsi="Amiri" w:cs="Abz-2 (Badr)" w:hint="cs"/>
          <w:sz w:val="28"/>
          <w:szCs w:val="28"/>
          <w:rtl/>
        </w:rPr>
        <w:t>وسنكمل بيان سائر الإشكالات في الجلسة القادمة إن شاء الله تعالى</w:t>
      </w:r>
      <w:r>
        <w:rPr>
          <w:rFonts w:ascii="Amiri" w:hAnsi="Amiri" w:cs="Abz-2 (Badr)"/>
          <w:sz w:val="28"/>
          <w:szCs w:val="28"/>
        </w:rPr>
        <w:t>.</w:t>
      </w:r>
    </w:p>
    <w:p w14:paraId="58B44377" w14:textId="77777777" w:rsidR="002D5A82" w:rsidRDefault="002D5A82" w:rsidP="002D5A82">
      <w:pPr>
        <w:widowControl w:val="0"/>
        <w:bidi/>
        <w:spacing w:after="0"/>
        <w:ind w:firstLine="284"/>
        <w:jc w:val="both"/>
        <w:rPr>
          <w:rFonts w:ascii="Amiri" w:hAnsi="Amiri" w:cs="Abz-2 (Badr)"/>
          <w:sz w:val="28"/>
          <w:szCs w:val="28"/>
        </w:rPr>
      </w:pPr>
    </w:p>
    <w:p w14:paraId="168D0CF7" w14:textId="77777777" w:rsidR="002D5A82" w:rsidRDefault="002D5A82" w:rsidP="002D5A82">
      <w:pPr>
        <w:widowControl w:val="0"/>
        <w:bidi/>
        <w:spacing w:after="0"/>
        <w:ind w:firstLine="284"/>
        <w:jc w:val="both"/>
        <w:rPr>
          <w:rFonts w:ascii="Amiri" w:hAnsi="Amiri" w:cs="Abz-2 (Badr)"/>
          <w:sz w:val="28"/>
          <w:szCs w:val="28"/>
        </w:rPr>
      </w:pPr>
    </w:p>
    <w:p w14:paraId="3C372650" w14:textId="77777777" w:rsidR="002D5A82" w:rsidRDefault="002D5A82" w:rsidP="002D5A82">
      <w:pPr>
        <w:widowControl w:val="0"/>
        <w:bidi/>
        <w:spacing w:after="0"/>
        <w:ind w:firstLine="284"/>
        <w:jc w:val="both"/>
        <w:rPr>
          <w:rFonts w:ascii="Amiri" w:hAnsi="Amiri" w:cs="Abz-2 (Badr)"/>
          <w:sz w:val="28"/>
          <w:szCs w:val="28"/>
          <w:lang w:bidi="fa-IR"/>
        </w:rPr>
      </w:pPr>
    </w:p>
    <w:p w14:paraId="7D9979DE" w14:textId="26D41A3F" w:rsidR="001B24FC" w:rsidRPr="002D5A82" w:rsidRDefault="001B24FC" w:rsidP="002D5A82">
      <w:pPr>
        <w:rPr>
          <w:rtl/>
        </w:rPr>
      </w:pPr>
    </w:p>
    <w:sectPr w:rsidR="001B24FC" w:rsidRPr="002D5A82" w:rsidSect="008666ED">
      <w:headerReference w:type="default" r:id="rId7"/>
      <w:footerReference w:type="default" r:id="rId8"/>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014F4" w14:textId="77777777" w:rsidR="00BA526B" w:rsidRDefault="00BA526B" w:rsidP="00C336C5">
      <w:pPr>
        <w:spacing w:after="0" w:line="240" w:lineRule="auto"/>
      </w:pPr>
      <w:r>
        <w:separator/>
      </w:r>
    </w:p>
  </w:endnote>
  <w:endnote w:type="continuationSeparator" w:id="0">
    <w:p w14:paraId="368183C0" w14:textId="77777777" w:rsidR="00BA526B" w:rsidRDefault="00BA526B" w:rsidP="00C336C5">
      <w:pPr>
        <w:spacing w:after="0" w:line="240" w:lineRule="auto"/>
      </w:pPr>
      <w:r>
        <w:continuationSeparator/>
      </w:r>
    </w:p>
  </w:endnote>
  <w:endnote w:type="continuationNotice" w:id="1">
    <w:p w14:paraId="4B7FC4D5" w14:textId="77777777" w:rsidR="00BA526B" w:rsidRDefault="00BA52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Neirizi">
    <w:panose1 w:val="02000503000000020003"/>
    <w:charset w:val="00"/>
    <w:family w:val="auto"/>
    <w:pitch w:val="variable"/>
    <w:sig w:usb0="61002A87" w:usb1="80000000" w:usb2="00000008" w:usb3="00000000" w:csb0="000101FF" w:csb1="00000000"/>
  </w:font>
  <w:font w:name="Amiri">
    <w:panose1 w:val="00000500000000000000"/>
    <w:charset w:val="00"/>
    <w:family w:val="auto"/>
    <w:pitch w:val="variable"/>
    <w:sig w:usb0="A000206F" w:usb1="82002043" w:usb2="00000008" w:usb3="00000000" w:csb0="000000D3"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F8DDD7" w14:textId="77777777" w:rsidR="00BA526B" w:rsidRDefault="00BA526B" w:rsidP="00C336C5">
      <w:pPr>
        <w:bidi/>
        <w:spacing w:after="0" w:line="240" w:lineRule="auto"/>
      </w:pPr>
      <w:r>
        <w:separator/>
      </w:r>
    </w:p>
  </w:footnote>
  <w:footnote w:type="continuationSeparator" w:id="0">
    <w:p w14:paraId="3A6C4F3C" w14:textId="77777777" w:rsidR="00BA526B" w:rsidRDefault="00BA526B" w:rsidP="00C336C5">
      <w:pPr>
        <w:spacing w:after="0" w:line="240" w:lineRule="auto"/>
      </w:pPr>
      <w:r>
        <w:continuationSeparator/>
      </w:r>
    </w:p>
  </w:footnote>
  <w:footnote w:type="continuationNotice" w:id="1">
    <w:p w14:paraId="737B81FE" w14:textId="77777777" w:rsidR="00BA526B" w:rsidRDefault="00BA526B">
      <w:pPr>
        <w:spacing w:after="0" w:line="240" w:lineRule="auto"/>
      </w:pPr>
    </w:p>
  </w:footnote>
  <w:footnote w:id="2">
    <w:p w14:paraId="2AC5A8F3" w14:textId="77777777" w:rsidR="002D5A82" w:rsidRDefault="002D5A82" w:rsidP="002D5A82">
      <w:pPr>
        <w:pStyle w:val="FootnoteText"/>
        <w:bidi/>
        <w:jc w:val="left"/>
        <w:rPr>
          <w:rFonts w:cs="Abz-2 (Badr)" w:hint="cs"/>
          <w:rtl/>
          <w:lang w:bidi="fa-IR"/>
        </w:rPr>
      </w:pPr>
      <w:r>
        <w:rPr>
          <w:rFonts w:cs="Abz-2 (Badr)"/>
          <w:lang w:bidi="fa-IR"/>
        </w:rPr>
        <w:footnoteRef/>
      </w:r>
      <w:r>
        <w:rPr>
          <w:rFonts w:cs="Abz-2 (Badr)" w:hint="cs"/>
          <w:rtl/>
          <w:lang w:bidi="fa-IR"/>
        </w:rPr>
        <w:t xml:space="preserve"> ـ آل عمران(3):93.</w:t>
      </w:r>
    </w:p>
  </w:footnote>
  <w:footnote w:id="3">
    <w:p w14:paraId="7BEF3C9A" w14:textId="77777777" w:rsidR="002D5A82" w:rsidRDefault="002D5A82" w:rsidP="002D5A82">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مباحث الأُصول، القسم الأوّل،ج4،ص224 و 225.</w:t>
      </w:r>
    </w:p>
  </w:footnote>
  <w:footnote w:id="4">
    <w:p w14:paraId="23F4E758" w14:textId="77777777" w:rsidR="002D5A82" w:rsidRDefault="002D5A82" w:rsidP="002D5A82">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آل عمران(3):93.</w:t>
      </w:r>
    </w:p>
  </w:footnote>
  <w:footnote w:id="5">
    <w:p w14:paraId="055BD724" w14:textId="77777777" w:rsidR="002D5A82" w:rsidRDefault="002D5A82" w:rsidP="002D5A82">
      <w:pPr>
        <w:pStyle w:val="FootnoteText"/>
        <w:bidi/>
        <w:jc w:val="left"/>
        <w:rPr>
          <w:rFonts w:cs="Abz-2 (Badr)" w:hint="cs"/>
          <w:rtl/>
          <w:lang w:bidi="fa-IR"/>
        </w:rPr>
      </w:pPr>
      <w:r>
        <w:rPr>
          <w:rFonts w:cs="Abz-2 (Badr)"/>
          <w:lang w:bidi="fa-IR"/>
        </w:rPr>
        <w:footnoteRef/>
      </w:r>
      <w:r>
        <w:rPr>
          <w:rFonts w:cs="Abz-2 (Badr)" w:hint="cs"/>
          <w:rtl/>
          <w:lang w:bidi="fa-IR"/>
        </w:rPr>
        <w:t xml:space="preserve"> </w:t>
      </w:r>
      <w:r>
        <w:rPr>
          <w:rFonts w:cs="Abz-2 (Badr)" w:hint="cs"/>
          <w:rtl/>
          <w:lang w:bidi="fa-IR"/>
        </w:rPr>
        <w:t xml:space="preserve">ـ </w:t>
      </w:r>
      <w:r>
        <w:rPr>
          <w:rFonts w:cs="Abz-2 (Badr)" w:hint="cs"/>
          <w:rtl/>
          <w:lang w:bidi="fa-IR"/>
        </w:rPr>
        <w:t>راجع: مباحث الأُصول، القسم الأوّل،ج4،ص224 و 225.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79AF6E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D5A82">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D5A82">
                            <w:rPr>
                              <w:rFonts w:cs="B Mehr" w:hint="cs"/>
                              <w:rtl/>
                              <w:lang w:bidi="fa-IR"/>
                            </w:rPr>
                            <w:t>28</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179AF6E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2D5A82">
                      <w:rPr>
                        <w:rFonts w:cs="B Mehr" w:hint="cs"/>
                        <w:rtl/>
                        <w:lang w:bidi="fa-IR"/>
                      </w:rPr>
                      <w:t>دو</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2D5A82">
                      <w:rPr>
                        <w:rFonts w:cs="B Mehr" w:hint="cs"/>
                        <w:rtl/>
                        <w:lang w:bidi="fa-IR"/>
                      </w:rPr>
                      <w:t>28</w:t>
                    </w:r>
                    <w:r w:rsidR="0094174A">
                      <w:rPr>
                        <w:rFonts w:cs="B Mehr" w:hint="cs"/>
                        <w:rtl/>
                        <w:lang w:bidi="fa-IR"/>
                      </w:rPr>
                      <w:t xml:space="preserve">   </w:t>
                    </w:r>
                    <w:r w:rsidR="00B2630B">
                      <w:rPr>
                        <w:rFonts w:cs="B Mehr" w:hint="cs"/>
                        <w:rtl/>
                        <w:lang w:bidi="fa-IR"/>
                      </w:rPr>
                      <w:t>مهر</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4102</TotalTime>
  <Pages>1</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1222</cp:revision>
  <cp:lastPrinted>2025-04-15T09:36:00Z</cp:lastPrinted>
  <dcterms:created xsi:type="dcterms:W3CDTF">2022-10-16T08:36:00Z</dcterms:created>
  <dcterms:modified xsi:type="dcterms:W3CDTF">2025-10-21T07:03:00Z</dcterms:modified>
</cp:coreProperties>
</file>