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8D96F" w14:textId="77777777" w:rsidR="001D3BB9" w:rsidRDefault="001D3BB9" w:rsidP="001D3BB9">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159A4A33" w14:textId="77777777" w:rsidR="001D3BB9" w:rsidRDefault="001D3BB9" w:rsidP="001D3BB9">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5B1D35F5" w14:textId="77777777" w:rsidR="001D3BB9" w:rsidRDefault="001D3BB9" w:rsidP="001D3BB9">
      <w:pPr>
        <w:widowControl w:val="0"/>
        <w:bidi/>
        <w:spacing w:after="240"/>
        <w:jc w:val="center"/>
        <w:rPr>
          <w:rFonts w:cs="B Mitra" w:hint="cs"/>
          <w:b/>
          <w:bCs/>
          <w:sz w:val="32"/>
          <w:szCs w:val="32"/>
          <w:rtl/>
          <w:lang w:bidi="fa-IR"/>
        </w:rPr>
      </w:pPr>
      <w:r>
        <w:rPr>
          <w:rFonts w:cs="B Mitra" w:hint="cs"/>
          <w:b/>
          <w:bCs/>
          <w:sz w:val="32"/>
          <w:szCs w:val="32"/>
          <w:rtl/>
          <w:lang w:bidi="fa-IR"/>
        </w:rPr>
        <w:t>جلسه 954</w:t>
      </w:r>
    </w:p>
    <w:bookmarkEnd w:id="0"/>
    <w:p w14:paraId="0AABD106" w14:textId="77777777" w:rsidR="001D3BB9" w:rsidRDefault="001D3BB9" w:rsidP="001D3BB9">
      <w:pPr>
        <w:widowControl w:val="0"/>
        <w:tabs>
          <w:tab w:val="num" w:pos="1440"/>
        </w:tabs>
        <w:bidi/>
        <w:spacing w:before="240"/>
        <w:ind w:firstLine="289"/>
        <w:jc w:val="both"/>
        <w:rPr>
          <w:rFonts w:cs="2  Mitra" w:hint="cs"/>
          <w:sz w:val="28"/>
          <w:szCs w:val="28"/>
          <w:rtl/>
        </w:rPr>
      </w:pPr>
    </w:p>
    <w:p w14:paraId="7C7E7E8F" w14:textId="77777777" w:rsidR="001D3BB9" w:rsidRDefault="001D3BB9" w:rsidP="001D3BB9">
      <w:pPr>
        <w:widowControl w:val="0"/>
        <w:bidi/>
        <w:spacing w:before="240" w:line="249" w:lineRule="auto"/>
        <w:ind w:firstLine="289"/>
        <w:jc w:val="both"/>
        <w:rPr>
          <w:rFonts w:cs="B Mitra" w:hint="cs"/>
          <w:spacing w:val="-4"/>
          <w:sz w:val="28"/>
          <w:szCs w:val="28"/>
          <w:rtl/>
          <w:lang w:bidi="fa-IR"/>
        </w:rPr>
      </w:pPr>
    </w:p>
    <w:p w14:paraId="1BCA3AAC" w14:textId="77777777" w:rsidR="001D3BB9" w:rsidRDefault="001D3BB9" w:rsidP="001D3BB9">
      <w:pPr>
        <w:widowControl w:val="0"/>
        <w:bidi/>
        <w:spacing w:before="240" w:line="249" w:lineRule="auto"/>
        <w:ind w:firstLine="289"/>
        <w:jc w:val="both"/>
        <w:rPr>
          <w:rFonts w:cs="B Mitra" w:hint="cs"/>
          <w:spacing w:val="-4"/>
          <w:sz w:val="28"/>
          <w:szCs w:val="28"/>
          <w:rtl/>
          <w:lang w:bidi="fa-IR"/>
        </w:rPr>
      </w:pPr>
      <w:r>
        <w:rPr>
          <w:rFonts w:cs="B Mitra" w:hint="cs"/>
          <w:spacing w:val="-4"/>
          <w:sz w:val="28"/>
          <w:szCs w:val="28"/>
          <w:rtl/>
          <w:lang w:bidi="fa-IR"/>
        </w:rPr>
        <w:t>جلسه قبل گفتيم که توجيه مرحوم آخوند از چرایی دلالت نکره در سياق نهی بر عموم، توجيه قابل قبولی نيست.</w:t>
      </w:r>
    </w:p>
    <w:p w14:paraId="3839A2BD" w14:textId="77777777" w:rsidR="001D3BB9" w:rsidRDefault="001D3BB9" w:rsidP="001D3BB9">
      <w:pPr>
        <w:widowControl w:val="0"/>
        <w:bidi/>
        <w:spacing w:before="240" w:line="249" w:lineRule="auto"/>
        <w:ind w:firstLine="289"/>
        <w:jc w:val="both"/>
        <w:rPr>
          <w:rFonts w:cs="B Mitra" w:hint="cs"/>
          <w:spacing w:val="-4"/>
          <w:sz w:val="28"/>
          <w:szCs w:val="28"/>
          <w:rtl/>
        </w:rPr>
      </w:pPr>
      <w:bookmarkStart w:id="1" w:name="_Hlk211761912"/>
      <w:r>
        <w:rPr>
          <w:rFonts w:cs="B Mitra" w:hint="cs"/>
          <w:spacing w:val="-4"/>
          <w:sz w:val="28"/>
          <w:szCs w:val="28"/>
          <w:rtl/>
          <w:lang w:bidi="fa-IR"/>
        </w:rPr>
        <w:t>بنابر این در خصوص وجه افاده عموم به توسطه نکره</w:t>
      </w:r>
      <w:r>
        <w:rPr>
          <w:rFonts w:cs="B Mitra" w:hint="cs"/>
          <w:spacing w:val="-4"/>
          <w:sz w:val="28"/>
          <w:szCs w:val="28"/>
          <w:rtl/>
          <w:lang w:bidi="fa-IR"/>
        </w:rPr>
        <w:softHyphen/>
        <w:t>ای که در سياق نهی واقع شده است، بهتر است</w:t>
      </w:r>
      <w:r>
        <w:rPr>
          <w:rFonts w:cs="B Mitra" w:hint="cs"/>
          <w:spacing w:val="-4"/>
          <w:sz w:val="28"/>
          <w:szCs w:val="28"/>
          <w:rtl/>
        </w:rPr>
        <w:t xml:space="preserve"> گفته شود: بين سه عبارت: «</w:t>
      </w:r>
      <w:r>
        <w:rPr>
          <w:rFonts w:cs="Abz-2 (Badr)" w:hint="cs"/>
          <w:spacing w:val="-4"/>
          <w:sz w:val="28"/>
          <w:szCs w:val="28"/>
          <w:rtl/>
        </w:rPr>
        <w:t>لا تکرم أيّ فاسق</w:t>
      </w:r>
      <w:r>
        <w:rPr>
          <w:rFonts w:cs="B Mitra" w:hint="cs"/>
          <w:spacing w:val="-4"/>
          <w:sz w:val="28"/>
          <w:szCs w:val="28"/>
          <w:rtl/>
        </w:rPr>
        <w:t>» و«</w:t>
      </w:r>
      <w:r>
        <w:rPr>
          <w:rFonts w:cs="Abz-2 (Badr)" w:hint="cs"/>
          <w:spacing w:val="-4"/>
          <w:sz w:val="28"/>
          <w:szCs w:val="28"/>
          <w:rtl/>
        </w:rPr>
        <w:t>لا تکرم الفاسق</w:t>
      </w:r>
      <w:r>
        <w:rPr>
          <w:rFonts w:cs="B Mitra" w:hint="cs"/>
          <w:spacing w:val="-4"/>
          <w:sz w:val="28"/>
          <w:szCs w:val="28"/>
          <w:rtl/>
        </w:rPr>
        <w:t>» و«</w:t>
      </w:r>
      <w:r>
        <w:rPr>
          <w:rFonts w:cs="Abz-2 (Badr)" w:hint="cs"/>
          <w:spacing w:val="-4"/>
          <w:sz w:val="28"/>
          <w:szCs w:val="28"/>
          <w:rtl/>
        </w:rPr>
        <w:t>لا تکرم فاسقاً</w:t>
      </w:r>
      <w:r>
        <w:rPr>
          <w:rFonts w:cs="B Mitra" w:hint="cs"/>
          <w:spacing w:val="-4"/>
          <w:sz w:val="28"/>
          <w:szCs w:val="28"/>
          <w:rtl/>
        </w:rPr>
        <w:t>» از حيث افاده معنا اختلاف وجود دارد.</w:t>
      </w:r>
    </w:p>
    <w:p w14:paraId="162506BA" w14:textId="77777777" w:rsidR="001D3BB9" w:rsidRDefault="001D3BB9" w:rsidP="001D3BB9">
      <w:pPr>
        <w:widowControl w:val="0"/>
        <w:bidi/>
        <w:spacing w:before="240" w:line="249" w:lineRule="auto"/>
        <w:ind w:firstLine="289"/>
        <w:jc w:val="both"/>
        <w:rPr>
          <w:rFonts w:cs="B Mitra" w:hint="cs"/>
          <w:spacing w:val="-4"/>
          <w:sz w:val="28"/>
          <w:szCs w:val="28"/>
          <w:rtl/>
        </w:rPr>
      </w:pPr>
      <w:r>
        <w:rPr>
          <w:rFonts w:cs="B Mitra" w:hint="cs"/>
          <w:spacing w:val="-4"/>
          <w:sz w:val="28"/>
          <w:szCs w:val="28"/>
          <w:rtl/>
        </w:rPr>
        <w:t>در عبارت نخست، افاده عموم لفظی اشکالی ندارد؛ زیرا «</w:t>
      </w:r>
      <w:r>
        <w:rPr>
          <w:rFonts w:cs="Abz-2 (Badr)" w:hint="cs"/>
          <w:spacing w:val="-4"/>
          <w:sz w:val="28"/>
          <w:szCs w:val="28"/>
          <w:rtl/>
        </w:rPr>
        <w:t>أيّ</w:t>
      </w:r>
      <w:r>
        <w:rPr>
          <w:rFonts w:cs="B Mitra" w:hint="cs"/>
          <w:spacing w:val="-4"/>
          <w:sz w:val="28"/>
          <w:szCs w:val="28"/>
          <w:rtl/>
        </w:rPr>
        <w:t>» از ادات عموم به شمار می‌رود. عمومى که این لفظ در سیاق نفی افاده می‌کند نیز ـ چنان‌که پیش‌تر بیان شد ـ عموم مجموعی است؛ بدین معنا که مبغوضيت اکرام هر يک از آنان منوط بر ترک اکرام سائر افراد است و امتثال نهی، در گرویِ اجتناب از اکرام تمام افراد فاسق است، و اگر حتی یک فاسق اکرام شود، نهی عصیان گردیده و پس از آن، اکرام فاسقان دیگر از مصادیق منهی‌عنه به شمار نخواهد آمد.</w:t>
      </w:r>
    </w:p>
    <w:p w14:paraId="257FCDC9" w14:textId="77777777" w:rsidR="001D3BB9" w:rsidRDefault="001D3BB9" w:rsidP="001D3BB9">
      <w:pPr>
        <w:widowControl w:val="0"/>
        <w:bidi/>
        <w:spacing w:before="240" w:line="249" w:lineRule="auto"/>
        <w:ind w:firstLine="289"/>
        <w:jc w:val="both"/>
        <w:rPr>
          <w:rFonts w:cs="B Mitra" w:hint="cs"/>
          <w:spacing w:val="-4"/>
          <w:sz w:val="28"/>
          <w:szCs w:val="28"/>
          <w:rtl/>
          <w:lang w:bidi="fa-IR"/>
        </w:rPr>
      </w:pPr>
      <w:r>
        <w:rPr>
          <w:rFonts w:cs="B Mitra" w:hint="cs"/>
          <w:spacing w:val="-4"/>
          <w:sz w:val="28"/>
          <w:szCs w:val="28"/>
          <w:rtl/>
        </w:rPr>
        <w:t>اما در عبارت دوم، نهی از اکرام فاسق، کاشف از مبغوض‌بودن اکرام چنین طبیعتی است، و روشن است که مراد از طبیعتی که اکرام آن مبغوض دانسته شده، طبیعت بما هی هی نیست، بلکه طبیعت فاسق به وجود خارجی آن است. بنابر این عصیان به سبب اکرام افراد متعدد فاسق، متعدّد می‌گردد، و این تعدد نه از آن جهت است که حکم نهی در دلیل، به نحو عموم استغراقی بر تک‌تک افراد فاسق شمول یافته باشد، بلکه از آن روست که مبغوضیت اکرام طبیعت فاسق، ناظر به وجود خارجی آن است که در ضمن افراد متعدد تحقق می‌یابد. از این رو اکرام هر فاسقی در واقع یک‌بار عصیان نهی به‌شمار می‌آید و یک عقاب بر آن مترتّب می‌شود، بی آن‌که این مطلب ناشی از عموم «</w:t>
      </w:r>
      <w:r>
        <w:rPr>
          <w:rFonts w:cs="Abz-2 (Badr)" w:hint="cs"/>
          <w:spacing w:val="-4"/>
          <w:sz w:val="28"/>
          <w:szCs w:val="28"/>
          <w:rtl/>
        </w:rPr>
        <w:t>الفاسق</w:t>
      </w:r>
      <w:r>
        <w:rPr>
          <w:rFonts w:cs="B Mitra" w:hint="cs"/>
          <w:spacing w:val="-4"/>
          <w:sz w:val="28"/>
          <w:szCs w:val="28"/>
          <w:rtl/>
        </w:rPr>
        <w:t>» ـ به معنای لحاظ آحاد افراد آن ـ باشد</w:t>
      </w:r>
      <w:r>
        <w:rPr>
          <w:rFonts w:cs="B Mitra" w:hint="cs"/>
          <w:spacing w:val="-4"/>
          <w:sz w:val="28"/>
          <w:szCs w:val="28"/>
          <w:rtl/>
          <w:lang w:bidi="fa-IR"/>
        </w:rPr>
        <w:t>.</w:t>
      </w:r>
    </w:p>
    <w:p w14:paraId="3306650C" w14:textId="77777777" w:rsidR="001D3BB9" w:rsidRDefault="001D3BB9" w:rsidP="001D3BB9">
      <w:pPr>
        <w:widowControl w:val="0"/>
        <w:bidi/>
        <w:spacing w:before="240" w:line="249" w:lineRule="auto"/>
        <w:ind w:firstLine="289"/>
        <w:jc w:val="both"/>
        <w:rPr>
          <w:rFonts w:cs="B Mitra"/>
          <w:spacing w:val="-4"/>
          <w:sz w:val="28"/>
          <w:szCs w:val="28"/>
          <w:lang w:bidi="fa-IR"/>
        </w:rPr>
      </w:pPr>
      <w:r>
        <w:rPr>
          <w:rFonts w:cs="B Mitra" w:hint="cs"/>
          <w:spacing w:val="-4"/>
          <w:sz w:val="28"/>
          <w:szCs w:val="28"/>
          <w:rtl/>
        </w:rPr>
        <w:t>مؤيّد اين مطلب اين است که اگر تحقق عصیان‌های متعدد در اثر اکرام فاسقان متعدد، ناشی از لحاظ موضوع به نحو عموم استغراقی باشد، باید ملتزم شویم که ترک اکرام هر فاسقی نيز امتثال جداگانه‌ای به شمار می</w:t>
      </w:r>
      <w:r>
        <w:rPr>
          <w:rFonts w:cs="B Mitra" w:hint="cs"/>
          <w:spacing w:val="-4"/>
          <w:sz w:val="28"/>
          <w:szCs w:val="28"/>
          <w:rtl/>
        </w:rPr>
        <w:softHyphen/>
        <w:t xml:space="preserve">آید، و در نتیجه نهی مزبور قابلیت آن را </w:t>
      </w:r>
      <w:r>
        <w:rPr>
          <w:rFonts w:cs="B Mitra" w:hint="cs"/>
          <w:spacing w:val="-4"/>
          <w:sz w:val="28"/>
          <w:szCs w:val="28"/>
          <w:rtl/>
        </w:rPr>
        <w:lastRenderedPageBreak/>
        <w:t>خواهد داشت که به تعداد افراد فاسق امتثال شود. در حالی که چنین چیزی خلاف متفاهم از اين دليل است؛ زیرا نهی مذکور جز یک امتثال ندارد که در ترک اکرام طبیعت فاسق در ضمن تمام افراد آن در خارج تحقق می‌یابد.</w:t>
      </w:r>
    </w:p>
    <w:p w14:paraId="175F4CB6" w14:textId="77777777" w:rsidR="001D3BB9" w:rsidRDefault="001D3BB9" w:rsidP="001D3BB9">
      <w:pPr>
        <w:widowControl w:val="0"/>
        <w:bidi/>
        <w:spacing w:before="240" w:line="249" w:lineRule="auto"/>
        <w:ind w:firstLine="289"/>
        <w:jc w:val="both"/>
        <w:rPr>
          <w:rFonts w:cs="B Mitra"/>
          <w:spacing w:val="-4"/>
          <w:sz w:val="28"/>
          <w:szCs w:val="28"/>
        </w:rPr>
      </w:pPr>
      <w:r>
        <w:rPr>
          <w:rFonts w:cs="B Mitra" w:hint="cs"/>
          <w:spacing w:val="-4"/>
          <w:sz w:val="28"/>
          <w:szCs w:val="28"/>
          <w:rtl/>
        </w:rPr>
        <w:t>اما در عبارت سوم، تنوین تنکیر دلالت بر وحدت دارد و از آن استفاده می‌شود که اکرام حتی یک فرد از افراد فاسق نیز مبغوض است. بنابر این تفاوت این عبارت با عبارت نخست در این است که مدلول آن عبارت، مبغوض بودن اکرام مجموع فسّاق است، نه اکرام حتی یک فاسق؛ هرچند لازمه مبغوضیت اکرام مجموع فسّاق آن است که اکرام یک فاسق نیز مبغوض باشد، با این تفاوت که در عبارت نخست، عصیان قابلیت تکرار ندارد، در حالی‌که در عبارت سوم ـ همانند عبارت دوم ـ به تعداد اکرام فسّاق، عصیان متعدّد خواهد بود.</w:t>
      </w:r>
    </w:p>
    <w:p w14:paraId="3E0EA34E" w14:textId="77777777" w:rsidR="001D3BB9" w:rsidRDefault="001D3BB9" w:rsidP="001D3BB9">
      <w:pPr>
        <w:widowControl w:val="0"/>
        <w:bidi/>
        <w:spacing w:before="240" w:line="249" w:lineRule="auto"/>
        <w:ind w:firstLine="289"/>
        <w:jc w:val="both"/>
        <w:rPr>
          <w:rFonts w:cs="B Mitra" w:hint="cs"/>
          <w:spacing w:val="-4"/>
          <w:sz w:val="28"/>
          <w:szCs w:val="28"/>
          <w:rtl/>
        </w:rPr>
      </w:pPr>
      <w:r>
        <w:rPr>
          <w:rFonts w:cs="B Mitra" w:hint="cs"/>
          <w:spacing w:val="-4"/>
          <w:sz w:val="28"/>
          <w:szCs w:val="28"/>
          <w:rtl/>
        </w:rPr>
        <w:t>تفاوت عبارت سوم با عبارت دوم نیز در این است که در عبارت دوم، آنچه مبغوض است «اکرام طبیعت فاسق» می‌باشد، در حالی‌که در عبارت سوم، «اکرام فرد فاسق» است که دارای مبغوضیت است. و چون این فرد، معیّن و مشخص نیست، به مقتضای اطلاق دليل، شمول آن نسبت به تمام افراد فاسق ثابت می‌شود</w:t>
      </w:r>
      <w:r>
        <w:rPr>
          <w:rFonts w:cs="B Mitra"/>
          <w:spacing w:val="-4"/>
          <w:sz w:val="28"/>
          <w:szCs w:val="28"/>
        </w:rPr>
        <w:t>.</w:t>
      </w:r>
    </w:p>
    <w:p w14:paraId="529BC239" w14:textId="77777777" w:rsidR="001D3BB9" w:rsidRDefault="001D3BB9" w:rsidP="001D3BB9">
      <w:pPr>
        <w:widowControl w:val="0"/>
        <w:bidi/>
        <w:spacing w:before="240" w:line="249" w:lineRule="auto"/>
        <w:ind w:firstLine="289"/>
        <w:jc w:val="both"/>
        <w:rPr>
          <w:rFonts w:cs="B Mitra"/>
          <w:spacing w:val="-4"/>
          <w:sz w:val="28"/>
          <w:szCs w:val="28"/>
        </w:rPr>
      </w:pPr>
      <w:r>
        <w:rPr>
          <w:rFonts w:cs="B Mitra" w:hint="cs"/>
          <w:spacing w:val="-4"/>
          <w:sz w:val="28"/>
          <w:szCs w:val="28"/>
          <w:rtl/>
        </w:rPr>
        <w:t>بنابر این، وجه این‌که نکره در سیاق نهی، افاده عموم می‌کند، آن است که حکم در چنین موردی به فردی از افراد طبیعت به نحو مطلق تعلّق گرفته است که لازمه آن، شمول حکم نسبت به همۀ افراد طبیعت می‌باشد. از این رو می‌توان گفت نکره در سیاق نفی، مفید عموم است؛ بدین معنا که حکم در آن، جمیع افراد طبیعت را در بر می‌گیرد.</w:t>
      </w:r>
    </w:p>
    <w:p w14:paraId="3C76EB36" w14:textId="77777777" w:rsidR="001D3BB9" w:rsidRDefault="001D3BB9" w:rsidP="001D3BB9">
      <w:pPr>
        <w:widowControl w:val="0"/>
        <w:bidi/>
        <w:spacing w:before="240" w:line="249" w:lineRule="auto"/>
        <w:ind w:firstLine="289"/>
        <w:jc w:val="both"/>
        <w:rPr>
          <w:rFonts w:cs="B Mitra" w:hint="cs"/>
          <w:spacing w:val="-4"/>
          <w:sz w:val="28"/>
          <w:szCs w:val="28"/>
          <w:rtl/>
        </w:rPr>
      </w:pPr>
      <w:r>
        <w:rPr>
          <w:rFonts w:cs="B Mitra" w:hint="cs"/>
          <w:spacing w:val="-4"/>
          <w:sz w:val="28"/>
          <w:szCs w:val="28"/>
          <w:rtl/>
        </w:rPr>
        <w:t>نتیجۀ این معنا اين است که «لا تکرم فاسقاً» در حکم «لا تکرم زيداً الفاسق» و «لا تکرم عمراً الفاسق» و «لا تکرم بکراً الفاسق» تا آخرين فرد از افراد فاسق باشد و اجتناب از اکرام هر یک از افراد فاسق، امتثالی برای يک حکم مستقل از احکام تعلق گرفته به اکرام افراد ديگر محسوب شود.</w:t>
      </w:r>
    </w:p>
    <w:p w14:paraId="392A3CAD" w14:textId="77777777" w:rsidR="001D3BB9" w:rsidRDefault="001D3BB9" w:rsidP="001D3BB9">
      <w:pPr>
        <w:widowControl w:val="0"/>
        <w:bidi/>
        <w:spacing w:before="240" w:line="249" w:lineRule="auto"/>
        <w:ind w:firstLine="289"/>
        <w:jc w:val="both"/>
        <w:rPr>
          <w:rFonts w:cs="B Mitra" w:hint="cs"/>
          <w:spacing w:val="-4"/>
          <w:sz w:val="28"/>
          <w:szCs w:val="28"/>
          <w:rtl/>
        </w:rPr>
      </w:pPr>
      <w:r>
        <w:rPr>
          <w:rFonts w:cs="B Mitra" w:hint="cs"/>
          <w:spacing w:val="-4"/>
          <w:sz w:val="28"/>
          <w:szCs w:val="28"/>
          <w:rtl/>
        </w:rPr>
        <w:t>بنابر اين عموم مستفاد از نکره در سياق نهی در حقیقت لازمه اخذ به اطلاق آن دلیل است و نمی</w:t>
      </w:r>
      <w:r>
        <w:rPr>
          <w:rFonts w:cs="B Mitra" w:hint="cs"/>
          <w:spacing w:val="-4"/>
          <w:sz w:val="28"/>
          <w:szCs w:val="28"/>
          <w:rtl/>
        </w:rPr>
        <w:softHyphen/>
        <w:t>توان آن را در عداد عموم مستفاد از صيغ ديگر که مستفاد از وضع بوده و مربوط به مرحله دلالت تصوریه است، در نظر گرفت.</w:t>
      </w:r>
    </w:p>
    <w:p w14:paraId="24668C52" w14:textId="77777777" w:rsidR="001D3BB9" w:rsidRDefault="001D3BB9" w:rsidP="001D3BB9">
      <w:pPr>
        <w:widowControl w:val="0"/>
        <w:bidi/>
        <w:spacing w:before="240" w:line="249" w:lineRule="auto"/>
        <w:ind w:firstLine="289"/>
        <w:jc w:val="both"/>
        <w:rPr>
          <w:rFonts w:cs="B Mitra" w:hint="cs"/>
          <w:spacing w:val="-4"/>
          <w:sz w:val="28"/>
          <w:szCs w:val="28"/>
          <w:rtl/>
        </w:rPr>
      </w:pPr>
      <w:r>
        <w:rPr>
          <w:rFonts w:cs="B Mitra" w:hint="cs"/>
          <w:spacing w:val="-4"/>
          <w:sz w:val="28"/>
          <w:szCs w:val="28"/>
          <w:rtl/>
        </w:rPr>
        <w:t>به عبارت ديگر: عموم مستفاد از «لا تکرم فاسقاً» به ماندد عموم مستفاد از «لا تکرم الفساق» است، اما منشأ عموم در آنها متفاوت بوده و در عبارت دوم، عموم وضعی و در عبارت اول مستند به اطلاق است.</w:t>
      </w:r>
    </w:p>
    <w:p w14:paraId="0D21E69B" w14:textId="77777777" w:rsidR="001D3BB9" w:rsidRDefault="001D3BB9" w:rsidP="001D3BB9">
      <w:pPr>
        <w:widowControl w:val="0"/>
        <w:bidi/>
        <w:spacing w:before="240" w:line="249" w:lineRule="auto"/>
        <w:ind w:firstLine="289"/>
        <w:jc w:val="both"/>
        <w:rPr>
          <w:rFonts w:cs="B Mitra" w:hint="cs"/>
          <w:spacing w:val="-4"/>
          <w:sz w:val="28"/>
          <w:szCs w:val="28"/>
          <w:rtl/>
        </w:rPr>
      </w:pPr>
      <w:r>
        <w:rPr>
          <w:rFonts w:cs="B Mitra" w:hint="cs"/>
          <w:spacing w:val="-4"/>
          <w:sz w:val="28"/>
          <w:szCs w:val="28"/>
          <w:rtl/>
        </w:rPr>
        <w:t>در واقع شاید منشأ این ادعا که نکره در سیاق نهی مفید عموم است، آن باشد که عموم مستفاد از تماميت مقدمات حکمت در این‌گونه موارد، عموم استغراقی است؛ در حالی‌که معمولاً عموم حاصل از اطلاق، به نحو بدلی می</w:t>
      </w:r>
      <w:r>
        <w:rPr>
          <w:rFonts w:cs="B Mitra" w:hint="cs"/>
          <w:spacing w:val="-4"/>
          <w:sz w:val="28"/>
          <w:szCs w:val="28"/>
          <w:rtl/>
        </w:rPr>
        <w:softHyphen/>
        <w:t>باشد.</w:t>
      </w:r>
    </w:p>
    <w:bookmarkEnd w:id="1"/>
    <w:p w14:paraId="6898805A" w14:textId="77777777" w:rsidR="001D3BB9" w:rsidRDefault="001D3BB9" w:rsidP="001D3BB9">
      <w:pPr>
        <w:widowControl w:val="0"/>
        <w:bidi/>
        <w:spacing w:before="240" w:line="249" w:lineRule="auto"/>
        <w:ind w:firstLine="289"/>
        <w:jc w:val="both"/>
        <w:rPr>
          <w:rFonts w:cs="B Mitra" w:hint="cs"/>
          <w:spacing w:val="-4"/>
          <w:sz w:val="28"/>
          <w:szCs w:val="28"/>
          <w:rtl/>
        </w:rPr>
      </w:pPr>
      <w:r>
        <w:rPr>
          <w:rFonts w:cs="B Mitra" w:hint="cs"/>
          <w:spacing w:val="-4"/>
          <w:sz w:val="28"/>
          <w:szCs w:val="28"/>
          <w:rtl/>
        </w:rPr>
        <w:lastRenderedPageBreak/>
        <w:t>اما بحث از نکره در سياق نفی را جلسه آينده مطرح خواهيم کرد ان شاء الله.</w:t>
      </w:r>
    </w:p>
    <w:p w14:paraId="3D80F7CE" w14:textId="77777777" w:rsidR="001D3BB9" w:rsidRDefault="001D3BB9" w:rsidP="001D3BB9">
      <w:pPr>
        <w:rPr>
          <w:rFonts w:cs="B Mitra" w:hint="cs"/>
          <w:spacing w:val="-4"/>
          <w:sz w:val="28"/>
          <w:szCs w:val="28"/>
          <w:rtl/>
        </w:rPr>
      </w:pPr>
      <w:r>
        <w:rPr>
          <w:rFonts w:cs="B Mitra" w:hint="cs"/>
          <w:spacing w:val="-4"/>
          <w:sz w:val="28"/>
          <w:szCs w:val="28"/>
          <w:rtl/>
        </w:rPr>
        <w:br w:type="page"/>
      </w:r>
    </w:p>
    <w:p w14:paraId="17AF5E06" w14:textId="77777777" w:rsidR="001D3BB9" w:rsidRDefault="001D3BB9" w:rsidP="001D3BB9">
      <w:pPr>
        <w:widowControl w:val="0"/>
        <w:bidi/>
        <w:spacing w:after="0"/>
        <w:ind w:firstLine="284"/>
        <w:jc w:val="both"/>
        <w:rPr>
          <w:rFonts w:ascii="Amiri" w:hAnsi="Amiri" w:cs="Abz-2 (Badr)" w:hint="cs"/>
          <w:sz w:val="28"/>
          <w:szCs w:val="28"/>
          <w:rtl/>
        </w:rPr>
      </w:pPr>
      <w:r>
        <w:rPr>
          <w:rFonts w:ascii="Amiri" w:hAnsi="Amiri" w:cs="Abz-2 (Badr)" w:hint="cs"/>
          <w:sz w:val="28"/>
          <w:szCs w:val="28"/>
          <w:rtl/>
        </w:rPr>
        <w:lastRenderedPageBreak/>
        <w:t>كنّا قد ذكرنا في الجلسة السابقة أنّ التوجيه الذي ذكره الآخوند لوجه دلالة النكرة في سياق النهي على العموم، غير تامّ لا يمكن الاعتماد عليه.</w:t>
      </w:r>
    </w:p>
    <w:p w14:paraId="3DB6CAE5" w14:textId="77777777" w:rsidR="001D3BB9" w:rsidRDefault="001D3BB9" w:rsidP="001D3BB9">
      <w:pPr>
        <w:widowControl w:val="0"/>
        <w:bidi/>
        <w:spacing w:after="0"/>
        <w:ind w:firstLine="284"/>
        <w:jc w:val="both"/>
        <w:rPr>
          <w:rFonts w:ascii="Amiri" w:hAnsi="Amiri" w:cs="Abz-2 (Badr)" w:hint="cs"/>
          <w:sz w:val="28"/>
          <w:szCs w:val="28"/>
          <w:rtl/>
        </w:rPr>
      </w:pPr>
      <w:bookmarkStart w:id="2" w:name="_Hlk211761828"/>
      <w:r>
        <w:rPr>
          <w:rFonts w:ascii="Amiri" w:hAnsi="Amiri" w:cs="Abz-2 (Badr)" w:hint="cs"/>
          <w:sz w:val="28"/>
          <w:szCs w:val="28"/>
          <w:rtl/>
        </w:rPr>
        <w:t>وعليه فينبغي في بيان وجه إفادة العموم بالنكرة الواقعة في سياق النهي أن يقال: إنّ بين العبارات الثلاث</w:t>
      </w:r>
      <w:r>
        <w:rPr>
          <w:rFonts w:ascii="Amiri" w:hAnsi="Amiri" w:cs="Abz-2 (Badr)" w:hint="cs"/>
          <w:sz w:val="28"/>
          <w:szCs w:val="28"/>
          <w:rtl/>
          <w:lang w:bidi="fa-IR"/>
        </w:rPr>
        <w:t>: «</w:t>
      </w:r>
      <w:r>
        <w:rPr>
          <w:rFonts w:ascii="Amiri" w:hAnsi="Amiri" w:cs="Abz-2 (Badr)" w:hint="cs"/>
          <w:sz w:val="28"/>
          <w:szCs w:val="28"/>
          <w:rtl/>
        </w:rPr>
        <w:t>لا تكرم أيّ فاسق»</w:t>
      </w:r>
      <w:r>
        <w:rPr>
          <w:rFonts w:ascii="Amiri" w:hAnsi="Amiri" w:cs="Abz-2 (Badr)" w:hint="cs"/>
          <w:b/>
          <w:bCs/>
          <w:sz w:val="28"/>
          <w:szCs w:val="28"/>
          <w:rtl/>
        </w:rPr>
        <w:t xml:space="preserve"> </w:t>
      </w:r>
      <w:r>
        <w:rPr>
          <w:rFonts w:ascii="Amiri" w:hAnsi="Amiri" w:cs="Abz-2 (Badr)" w:hint="cs"/>
          <w:sz w:val="28"/>
          <w:szCs w:val="28"/>
          <w:rtl/>
        </w:rPr>
        <w:t>و«لا تكرم الفاسق» و«لا تكرم فاسقاً» اختلافاً في الدلالة من حيث إفادة العموم.</w:t>
      </w:r>
    </w:p>
    <w:p w14:paraId="28928E4E" w14:textId="77777777" w:rsidR="001D3BB9" w:rsidRDefault="001D3BB9" w:rsidP="001D3BB9">
      <w:pPr>
        <w:widowControl w:val="0"/>
        <w:bidi/>
        <w:spacing w:after="0"/>
        <w:ind w:firstLine="284"/>
        <w:jc w:val="both"/>
        <w:rPr>
          <w:rFonts w:ascii="Amiri" w:hAnsi="Amiri" w:cs="Abz-2 (Badr)" w:hint="cs"/>
          <w:sz w:val="28"/>
          <w:szCs w:val="28"/>
          <w:rtl/>
        </w:rPr>
      </w:pPr>
      <w:r>
        <w:rPr>
          <w:rFonts w:ascii="Amiri" w:hAnsi="Amiri" w:cs="Abz-2 (Badr)" w:hint="cs"/>
          <w:sz w:val="28"/>
          <w:szCs w:val="28"/>
          <w:rtl/>
        </w:rPr>
        <w:t xml:space="preserve">ففي العبارة الأُولى لا إشكال في إفادتها العموم اللفظي، لأنّ </w:t>
      </w:r>
      <w:r>
        <w:rPr>
          <w:rFonts w:ascii="Amiri" w:hAnsi="Amiri" w:cs="Abz-2 (Badr)" w:hint="cs"/>
          <w:sz w:val="28"/>
          <w:szCs w:val="28"/>
          <w:rtl/>
          <w:lang w:bidi="fa-IR"/>
        </w:rPr>
        <w:t>«</w:t>
      </w:r>
      <w:r>
        <w:rPr>
          <w:rFonts w:ascii="Amiri" w:hAnsi="Amiri" w:cs="Abz-2 (Badr)" w:hint="cs"/>
          <w:sz w:val="28"/>
          <w:szCs w:val="28"/>
          <w:rtl/>
        </w:rPr>
        <w:t>أيّ»</w:t>
      </w:r>
      <w:r>
        <w:rPr>
          <w:rFonts w:ascii="Amiri" w:hAnsi="Amiri" w:cs="Abz-2 (Badr)" w:hint="cs"/>
          <w:b/>
          <w:bCs/>
          <w:sz w:val="28"/>
          <w:szCs w:val="28"/>
          <w:rtl/>
        </w:rPr>
        <w:t xml:space="preserve"> </w:t>
      </w:r>
      <w:r>
        <w:rPr>
          <w:rFonts w:ascii="Amiri" w:hAnsi="Amiri" w:cs="Abz-2 (Badr)" w:hint="cs"/>
          <w:sz w:val="28"/>
          <w:szCs w:val="28"/>
          <w:rtl/>
        </w:rPr>
        <w:t>من أدوات العموم، والعموم الذي تفيده في سياق النفي ـ كما تقدّم بيانه ـ هو عموم مجموعي، بمعنى أنّ مبغضويّة إکرام کلّ واحد منهم مشروطة بترك إكرام الآخرين</w:t>
      </w:r>
      <w:r>
        <w:rPr>
          <w:rFonts w:ascii="Amiri" w:hAnsi="Amiri" w:cs="Abz-2 (Badr)" w:hint="cs"/>
          <w:sz w:val="28"/>
          <w:szCs w:val="28"/>
          <w:rtl/>
          <w:lang w:bidi="fa-IR"/>
        </w:rPr>
        <w:t xml:space="preserve">، </w:t>
      </w:r>
      <w:r>
        <w:rPr>
          <w:rFonts w:ascii="Amiri" w:hAnsi="Amiri" w:cs="Abz-2 (Badr)" w:hint="cs"/>
          <w:sz w:val="28"/>
          <w:szCs w:val="28"/>
          <w:rtl/>
        </w:rPr>
        <w:t>فيتحقّق الامتثال باجتناب إكرام جميع أفراد الفاسق. فلو أُكرم فاسق واحد، عدّ ذلك عصياناً للنهي ولم يعد إكرام الفاسقين الآخرين من مصاديق المنهيّ عنه بعد ذلك.</w:t>
      </w:r>
    </w:p>
    <w:p w14:paraId="196A1B62" w14:textId="77777777" w:rsidR="001D3BB9" w:rsidRDefault="001D3BB9" w:rsidP="001D3BB9">
      <w:pPr>
        <w:widowControl w:val="0"/>
        <w:bidi/>
        <w:spacing w:after="0"/>
        <w:ind w:firstLine="284"/>
        <w:jc w:val="both"/>
        <w:rPr>
          <w:rFonts w:ascii="Amiri" w:hAnsi="Amiri" w:cs="Abz-2 (Badr)" w:hint="cs"/>
          <w:sz w:val="28"/>
          <w:szCs w:val="28"/>
          <w:rtl/>
        </w:rPr>
      </w:pPr>
      <w:r>
        <w:rPr>
          <w:rFonts w:ascii="Amiri" w:hAnsi="Amiri" w:cs="Abz-2 (Badr)" w:hint="cs"/>
          <w:sz w:val="28"/>
          <w:szCs w:val="28"/>
          <w:rtl/>
        </w:rPr>
        <w:t>وأمّا في العبارة الثانية فإنّ النهي عن إكرام الفاسق كاشف عن مبغوضيّة إكرام هذه الطبيعة. ومن الواضح أنّ المراد من الطبيعة التي يعدّ إكرامها مبغوضاً، ليس هي الطبيعة بما هي هي، بل الطبيعة بوجودها الخارجي.</w:t>
      </w:r>
    </w:p>
    <w:p w14:paraId="16A9384D" w14:textId="77777777" w:rsidR="001D3BB9" w:rsidRDefault="001D3BB9" w:rsidP="001D3BB9">
      <w:pPr>
        <w:widowControl w:val="0"/>
        <w:bidi/>
        <w:spacing w:after="0"/>
        <w:ind w:firstLine="284"/>
        <w:jc w:val="both"/>
        <w:rPr>
          <w:rFonts w:ascii="Amiri" w:hAnsi="Amiri" w:cs="Abz-2 (Badr)" w:hint="cs"/>
          <w:sz w:val="28"/>
          <w:szCs w:val="28"/>
          <w:rtl/>
        </w:rPr>
      </w:pPr>
      <w:r>
        <w:rPr>
          <w:rFonts w:ascii="Amiri" w:hAnsi="Amiri" w:cs="Abz-2 (Badr)" w:hint="cs"/>
          <w:sz w:val="28"/>
          <w:szCs w:val="28"/>
          <w:rtl/>
        </w:rPr>
        <w:t>وعليه فإنّ العصيان يتعدّد بتعدّد إكرام الأفراد الفسّاق، غير أنّه ليس من جهة شمول الحكم الوارد في دليل النهي بنحو العموم الاستغراقي لكلّ فرد من أفراد الفاسق، بل باعتبار أنّ مبغوضيّة إكرام طبيعة الفاسق متعلّقة بوجودها الخارجي الذي يتحقّق في ضمن أفراد متعدّدة.</w:t>
      </w:r>
    </w:p>
    <w:p w14:paraId="74E19033" w14:textId="77777777" w:rsidR="001D3BB9" w:rsidRDefault="001D3BB9" w:rsidP="001D3BB9">
      <w:pPr>
        <w:widowControl w:val="0"/>
        <w:bidi/>
        <w:spacing w:after="0"/>
        <w:ind w:firstLine="284"/>
        <w:jc w:val="both"/>
        <w:rPr>
          <w:rFonts w:ascii="Amiri" w:hAnsi="Amiri" w:cs="Abz-2 (Badr)" w:hint="cs"/>
          <w:sz w:val="28"/>
          <w:szCs w:val="28"/>
          <w:rtl/>
          <w:lang w:bidi="fa-IR"/>
        </w:rPr>
      </w:pPr>
      <w:r>
        <w:rPr>
          <w:rFonts w:ascii="Amiri" w:hAnsi="Amiri" w:cs="Abz-2 (Badr)" w:hint="cs"/>
          <w:sz w:val="28"/>
          <w:szCs w:val="28"/>
          <w:rtl/>
        </w:rPr>
        <w:t>ومن ثمّ فإنّ إكرام كلّ فاسق يعدّ في الواقع عصياناً مستقلّاً للنهي ويترتّب عليه عقاب واحد، من غير أن يكون ذلك ناشئاً عن عموم لفظ «الفاسق» بمعنى لحاظ آحاد أفراده.</w:t>
      </w:r>
    </w:p>
    <w:p w14:paraId="0C65F781" w14:textId="77777777" w:rsidR="001D3BB9" w:rsidRDefault="001D3BB9" w:rsidP="001D3BB9">
      <w:pPr>
        <w:widowControl w:val="0"/>
        <w:bidi/>
        <w:spacing w:after="0"/>
        <w:ind w:firstLine="284"/>
        <w:jc w:val="both"/>
        <w:rPr>
          <w:rFonts w:ascii="Amiri" w:hAnsi="Amiri" w:cs="Abz-2 (Badr)"/>
          <w:sz w:val="28"/>
          <w:szCs w:val="28"/>
        </w:rPr>
      </w:pPr>
      <w:r>
        <w:rPr>
          <w:rFonts w:ascii="Amiri" w:hAnsi="Amiri" w:cs="Abz-2 (Badr)" w:hint="cs"/>
          <w:sz w:val="28"/>
          <w:szCs w:val="28"/>
          <w:rtl/>
        </w:rPr>
        <w:t>ويؤيّد ذلك بأنّه لو كان تعدّد العصيان الناشئ عن إكرام الفسّاق المتعدّدين مستنداً إلى لحاظ الموضوع بنحو العموم الاستغراقي، للزم القول بأنّ ترك إكرام كلّ فاسق امتثال مستقلّ أيضاً، وحينئذٍ يكون النهي قابلاً لأنّ يمتثل بعدد أفراد الفساق.</w:t>
      </w:r>
    </w:p>
    <w:p w14:paraId="3ED4D6D2" w14:textId="77777777" w:rsidR="001D3BB9" w:rsidRDefault="001D3BB9" w:rsidP="001D3BB9">
      <w:pPr>
        <w:widowControl w:val="0"/>
        <w:bidi/>
        <w:spacing w:after="0"/>
        <w:ind w:firstLine="284"/>
        <w:jc w:val="both"/>
        <w:rPr>
          <w:rFonts w:ascii="Amiri" w:hAnsi="Amiri" w:cs="Abz-2 (Badr)" w:hint="cs"/>
          <w:sz w:val="28"/>
          <w:szCs w:val="28"/>
          <w:rtl/>
        </w:rPr>
      </w:pPr>
      <w:r>
        <w:rPr>
          <w:rFonts w:ascii="Amiri" w:hAnsi="Amiri" w:cs="Abz-2 (Badr)" w:hint="cs"/>
          <w:sz w:val="28"/>
          <w:szCs w:val="28"/>
          <w:rtl/>
        </w:rPr>
        <w:t>لكن هذا المعنى مخالف للمتفاهم العرفي من الدليل، إذ لا يفهم من النهي المذكور إلّا إمکان تحقّق امتثال واحد بترك إكرام طبيعة الفاسق في ضمن جميع أفرادها في الخارج.</w:t>
      </w:r>
    </w:p>
    <w:p w14:paraId="064210A8" w14:textId="77777777" w:rsidR="001D3BB9" w:rsidRDefault="001D3BB9" w:rsidP="001D3BB9">
      <w:pPr>
        <w:widowControl w:val="0"/>
        <w:bidi/>
        <w:spacing w:after="0"/>
        <w:ind w:firstLine="284"/>
        <w:jc w:val="both"/>
        <w:rPr>
          <w:rFonts w:ascii="Amiri" w:hAnsi="Amiri" w:cs="Abz-2 (Badr)" w:hint="cs"/>
          <w:sz w:val="28"/>
          <w:szCs w:val="28"/>
          <w:rtl/>
        </w:rPr>
      </w:pPr>
      <w:r>
        <w:rPr>
          <w:rFonts w:ascii="Amiri" w:hAnsi="Amiri" w:cs="Abz-2 (Badr)" w:hint="cs"/>
          <w:sz w:val="28"/>
          <w:szCs w:val="28"/>
          <w:rtl/>
        </w:rPr>
        <w:t xml:space="preserve">وأمّا العبارة الثالثة فإنّ تنوين التنكير فيها يدلّ على الوحدة، ويستفاد منه أنّ إكرام فرد واحد من أفراد الفاسق أيضاً مبغوض. وبناءً على ذلك يكون الفرق بين هذه العبارة والعبارة الأُولى أنّ مدلول الأُولى هو مبغوضيّة إكرام مجموع الفسّاق </w:t>
      </w:r>
      <w:r>
        <w:rPr>
          <w:rFonts w:ascii="Amiri" w:hAnsi="Amiri" w:cs="Abz-2 (Badr)" w:hint="cs"/>
          <w:sz w:val="28"/>
          <w:szCs w:val="28"/>
          <w:rtl/>
        </w:rPr>
        <w:lastRenderedPageBreak/>
        <w:t>لا إكرام فرد منهم، وإن كان لازم مبغوضيّة إكرام المجموع هو مبغوضيّة إكرام الواحد أيضاً، غير أنّ الفرق بينهما أنّ العصيان في العبارة الأُولى لا يتكرّر، بينما في العبارة الثالثة يتعدّد العصيان بتعدّد إكرام الفسّاق كما في الثانية.</w:t>
      </w:r>
    </w:p>
    <w:p w14:paraId="2F85B2C2" w14:textId="77777777" w:rsidR="001D3BB9" w:rsidRDefault="001D3BB9" w:rsidP="001D3BB9">
      <w:pPr>
        <w:widowControl w:val="0"/>
        <w:bidi/>
        <w:spacing w:after="0"/>
        <w:ind w:firstLine="284"/>
        <w:jc w:val="both"/>
        <w:rPr>
          <w:rFonts w:ascii="Amiri" w:hAnsi="Amiri" w:cs="Abz-2 (Badr)"/>
          <w:sz w:val="28"/>
          <w:szCs w:val="28"/>
          <w:lang w:bidi="fa-IR"/>
        </w:rPr>
      </w:pPr>
      <w:r>
        <w:rPr>
          <w:rFonts w:ascii="Amiri" w:hAnsi="Amiri" w:cs="Abz-2 (Badr)" w:hint="cs"/>
          <w:sz w:val="28"/>
          <w:szCs w:val="28"/>
          <w:rtl/>
        </w:rPr>
        <w:t>وأمّا الفرق بين العبارة الثالثة والثانية، فهو أنّ المبغوض في الثانية هو «إكرام طبيعة الفاسق»، وأمّا في الثالثة فالمبغوض هو «إكرام الفرد الفاسق». ولمّا كان هذا الفرد غير معيّن، فإنّ مقتضى إطلاق الدليل شموله لجميع أفراد الفاسق</w:t>
      </w:r>
      <w:r>
        <w:rPr>
          <w:rFonts w:ascii="Amiri" w:hAnsi="Amiri" w:cs="Abz-2 (Badr)" w:hint="cs"/>
          <w:sz w:val="28"/>
          <w:szCs w:val="28"/>
          <w:rtl/>
          <w:lang w:bidi="fa-IR"/>
        </w:rPr>
        <w:t>.</w:t>
      </w:r>
    </w:p>
    <w:p w14:paraId="37277905" w14:textId="77777777" w:rsidR="001D3BB9" w:rsidRDefault="001D3BB9" w:rsidP="001D3BB9">
      <w:pPr>
        <w:widowControl w:val="0"/>
        <w:bidi/>
        <w:spacing w:after="0"/>
        <w:ind w:firstLine="284"/>
        <w:jc w:val="both"/>
        <w:rPr>
          <w:rFonts w:ascii="Amiri" w:hAnsi="Amiri" w:cs="Abz-2 (Badr)" w:hint="cs"/>
          <w:sz w:val="28"/>
          <w:szCs w:val="28"/>
          <w:rtl/>
          <w:lang w:bidi="fa-IR"/>
        </w:rPr>
      </w:pPr>
    </w:p>
    <w:p w14:paraId="005A85AB" w14:textId="77777777" w:rsidR="001D3BB9" w:rsidRDefault="001D3BB9" w:rsidP="001D3BB9">
      <w:pPr>
        <w:widowControl w:val="0"/>
        <w:bidi/>
        <w:spacing w:after="0"/>
        <w:ind w:firstLine="284"/>
        <w:jc w:val="both"/>
        <w:rPr>
          <w:rFonts w:ascii="Amiri" w:hAnsi="Amiri" w:cs="Abz-2 (Badr)"/>
          <w:sz w:val="28"/>
          <w:szCs w:val="28"/>
          <w:lang w:bidi="fa-IR"/>
        </w:rPr>
      </w:pPr>
      <w:r>
        <w:rPr>
          <w:rFonts w:ascii="Amiri" w:hAnsi="Amiri" w:cs="Abz-2 (Badr)" w:hint="cs"/>
          <w:sz w:val="28"/>
          <w:szCs w:val="28"/>
          <w:rtl/>
        </w:rPr>
        <w:t>وعليه فوجه إفادة النكرة في سياق النهي للعموم هو أنّ الحكم في هذا المورد متعلّق بفرد من أفراد الطبيعة على نحو الإطلاق، ولازم ذلك شمول الحكم لجميع أفراد تلك الطبيعة. ومن ثمّ يمكن القول بأنّ النكرة في سياق النفي تفيد العموم، بمعنى أنّ الحكم يعمّ جميع أفراد الطبيعة.</w:t>
      </w:r>
    </w:p>
    <w:p w14:paraId="2BC6A439" w14:textId="77777777" w:rsidR="001D3BB9" w:rsidRDefault="001D3BB9" w:rsidP="001D3BB9">
      <w:pPr>
        <w:widowControl w:val="0"/>
        <w:bidi/>
        <w:spacing w:after="0"/>
        <w:ind w:firstLine="284"/>
        <w:jc w:val="both"/>
        <w:rPr>
          <w:rFonts w:ascii="Amiri" w:hAnsi="Amiri" w:cs="Abz-2 (Badr)"/>
          <w:sz w:val="28"/>
          <w:szCs w:val="28"/>
          <w:lang w:bidi="fa-IR"/>
        </w:rPr>
      </w:pPr>
      <w:r>
        <w:rPr>
          <w:rFonts w:ascii="Amiri" w:hAnsi="Amiri" w:cs="Abz-2 (Badr)" w:hint="cs"/>
          <w:sz w:val="28"/>
          <w:szCs w:val="28"/>
          <w:rtl/>
        </w:rPr>
        <w:t>وعلى هذا الأساس تكون جملة: «لا تکرم فاسقاً» في حكم قولنا: «لا تكرم زيداً الفاسق» و«لا تكرم عمراً الفاسق» و«لا تكرم بكراً الفاسق» إلى آخر أفراد الفسّاق، بحيث يكون اجتناب إكرام كلّ فاسق امتثالاً لحكم مستقلّ عن الأحكام المتعلّقة بإكرام سائر الأفراد.</w:t>
      </w:r>
    </w:p>
    <w:p w14:paraId="7E96F3E6" w14:textId="77777777" w:rsidR="001D3BB9" w:rsidRDefault="001D3BB9" w:rsidP="001D3BB9">
      <w:pPr>
        <w:widowControl w:val="0"/>
        <w:bidi/>
        <w:spacing w:after="0"/>
        <w:ind w:firstLine="284"/>
        <w:jc w:val="both"/>
        <w:rPr>
          <w:rFonts w:ascii="Amiri" w:hAnsi="Amiri" w:cs="Abz-2 (Badr)"/>
          <w:sz w:val="28"/>
          <w:szCs w:val="28"/>
          <w:lang w:bidi="fa-IR"/>
        </w:rPr>
      </w:pPr>
      <w:r>
        <w:rPr>
          <w:rFonts w:ascii="Amiri" w:hAnsi="Amiri" w:cs="Abz-2 (Badr)" w:hint="cs"/>
          <w:sz w:val="28"/>
          <w:szCs w:val="28"/>
          <w:rtl/>
        </w:rPr>
        <w:t>فبناءً على ذلك يكون العموم المستفاد من النكرة في سياق النهي في الحقيقة لازماً للأخذ بإطلاق الدليل، ولا يمكن عدّه من قبيل العموم المستفاد من الصيغ الموضوعة له التي ترتبط بمرحلة الدلالة التصوّريّة.</w:t>
      </w:r>
    </w:p>
    <w:p w14:paraId="0017BAF1" w14:textId="77777777" w:rsidR="001D3BB9" w:rsidRDefault="001D3BB9" w:rsidP="001D3BB9">
      <w:pPr>
        <w:widowControl w:val="0"/>
        <w:bidi/>
        <w:spacing w:after="0"/>
        <w:ind w:firstLine="284"/>
        <w:jc w:val="both"/>
        <w:rPr>
          <w:rFonts w:ascii="Amiri" w:hAnsi="Amiri" w:cs="Abz-2 (Badr)"/>
          <w:sz w:val="28"/>
          <w:szCs w:val="28"/>
        </w:rPr>
      </w:pPr>
      <w:r>
        <w:rPr>
          <w:rFonts w:ascii="Amiri" w:hAnsi="Amiri" w:cs="Abz-2 (Badr)" w:hint="cs"/>
          <w:sz w:val="28"/>
          <w:szCs w:val="28"/>
          <w:rtl/>
        </w:rPr>
        <w:t>وبعبارة أُخرى: إنّ العموم المستفاد من «لا تكرم فاسقاً» نظير العموم المستفاد من «لا تكرم الفسّاق»، غير أنّ منشأ العموم في الأُولى هو الإطلاق وفي الثانية هو الوضع.</w:t>
      </w:r>
    </w:p>
    <w:p w14:paraId="296B50BF" w14:textId="77777777" w:rsidR="001D3BB9" w:rsidRDefault="001D3BB9" w:rsidP="001D3BB9">
      <w:pPr>
        <w:widowControl w:val="0"/>
        <w:bidi/>
        <w:spacing w:after="0"/>
        <w:ind w:firstLine="284"/>
        <w:jc w:val="both"/>
        <w:rPr>
          <w:rFonts w:ascii="Amiri" w:hAnsi="Amiri" w:cs="Abz-2 (Badr)"/>
          <w:sz w:val="28"/>
          <w:szCs w:val="28"/>
          <w:lang w:bidi="fa-IR"/>
        </w:rPr>
      </w:pPr>
      <w:r>
        <w:rPr>
          <w:rFonts w:ascii="Amiri" w:hAnsi="Amiri" w:cs="Abz-2 (Badr)" w:hint="cs"/>
          <w:sz w:val="28"/>
          <w:szCs w:val="28"/>
          <w:rtl/>
        </w:rPr>
        <w:t>ولعلّ منشأ القول بأنّ النكرة في سياق النهي تفيد العموم، هو أنّ العموم المستفاد من تماميّة مقدّمات الحكمة فيها عموم استغراقي، مع أنّ العموم المتحصّل من الإطلاق يكون بدليّاً عادة.</w:t>
      </w:r>
    </w:p>
    <w:bookmarkEnd w:id="2"/>
    <w:p w14:paraId="150574C6" w14:textId="77777777" w:rsidR="001D3BB9" w:rsidRDefault="001D3BB9" w:rsidP="001D3BB9">
      <w:pPr>
        <w:widowControl w:val="0"/>
        <w:bidi/>
        <w:spacing w:after="0"/>
        <w:ind w:firstLine="284"/>
        <w:jc w:val="both"/>
        <w:rPr>
          <w:rFonts w:ascii="Amiri" w:hAnsi="Amiri" w:cs="Abz-2 (Badr)"/>
          <w:sz w:val="28"/>
          <w:szCs w:val="28"/>
          <w:lang w:bidi="fa-IR"/>
        </w:rPr>
      </w:pPr>
      <w:r>
        <w:rPr>
          <w:rFonts w:ascii="Amiri" w:hAnsi="Amiri" w:cs="Abz-2 (Badr)" w:hint="cs"/>
          <w:sz w:val="28"/>
          <w:szCs w:val="28"/>
          <w:rtl/>
        </w:rPr>
        <w:t>وأمّا البحث في النكرة الواقعة في سياق النفي، فسنطرحه في الجلسة القادمة إن شاء الله تعالى</w:t>
      </w:r>
      <w:r>
        <w:rPr>
          <w:rFonts w:ascii="Amiri" w:hAnsi="Amiri" w:cs="Abz-2 (Badr)"/>
          <w:sz w:val="28"/>
          <w:szCs w:val="28"/>
          <w:lang w:bidi="fa-IR"/>
        </w:rPr>
        <w:t>.</w:t>
      </w:r>
    </w:p>
    <w:p w14:paraId="0D5D98B0" w14:textId="77777777" w:rsidR="001D3BB9" w:rsidRDefault="001D3BB9" w:rsidP="001D3BB9">
      <w:pPr>
        <w:widowControl w:val="0"/>
        <w:bidi/>
        <w:spacing w:after="0"/>
        <w:ind w:firstLine="284"/>
        <w:jc w:val="both"/>
        <w:rPr>
          <w:rFonts w:ascii="Amiri" w:hAnsi="Amiri" w:cs="Abz-2 (Badr)"/>
          <w:sz w:val="28"/>
          <w:szCs w:val="28"/>
          <w:lang w:bidi="fa-IR"/>
        </w:rPr>
      </w:pPr>
    </w:p>
    <w:p w14:paraId="7D9979DE" w14:textId="26D41A3F" w:rsidR="001B24FC" w:rsidRPr="001D3BB9" w:rsidRDefault="001B24FC" w:rsidP="001D3BB9">
      <w:pPr>
        <w:rPr>
          <w:rtl/>
        </w:rPr>
      </w:pPr>
    </w:p>
    <w:sectPr w:rsidR="001B24FC" w:rsidRPr="001D3BB9"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A323A" w14:textId="77777777" w:rsidR="00FE43BD" w:rsidRDefault="00FE43BD" w:rsidP="00C336C5">
      <w:pPr>
        <w:spacing w:after="0" w:line="240" w:lineRule="auto"/>
      </w:pPr>
      <w:r>
        <w:separator/>
      </w:r>
    </w:p>
  </w:endnote>
  <w:endnote w:type="continuationSeparator" w:id="0">
    <w:p w14:paraId="0FB95312" w14:textId="77777777" w:rsidR="00FE43BD" w:rsidRDefault="00FE43BD" w:rsidP="00C336C5">
      <w:pPr>
        <w:spacing w:after="0" w:line="240" w:lineRule="auto"/>
      </w:pPr>
      <w:r>
        <w:continuationSeparator/>
      </w:r>
    </w:p>
  </w:endnote>
  <w:endnote w:type="continuationNotice" w:id="1">
    <w:p w14:paraId="53D15EC0" w14:textId="77777777" w:rsidR="00FE43BD" w:rsidRDefault="00FE43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Amiri">
    <w:panose1 w:val="00000500000000000000"/>
    <w:charset w:val="00"/>
    <w:family w:val="auto"/>
    <w:pitch w:val="variable"/>
    <w:sig w:usb0="A000206F" w:usb1="82002043" w:usb2="00000008" w:usb3="00000000" w:csb0="000000D3"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073DB" w14:textId="77777777" w:rsidR="00A43AD0" w:rsidRDefault="00A43A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200BD" w14:textId="77777777" w:rsidR="00A43AD0" w:rsidRDefault="00A43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D74F0" w14:textId="77777777" w:rsidR="00FE43BD" w:rsidRDefault="00FE43BD" w:rsidP="00C336C5">
      <w:pPr>
        <w:bidi/>
        <w:spacing w:after="0" w:line="240" w:lineRule="auto"/>
      </w:pPr>
      <w:r>
        <w:separator/>
      </w:r>
    </w:p>
  </w:footnote>
  <w:footnote w:type="continuationSeparator" w:id="0">
    <w:p w14:paraId="51E7862E" w14:textId="77777777" w:rsidR="00FE43BD" w:rsidRDefault="00FE43BD" w:rsidP="00C336C5">
      <w:pPr>
        <w:spacing w:after="0" w:line="240" w:lineRule="auto"/>
      </w:pPr>
      <w:r>
        <w:continuationSeparator/>
      </w:r>
    </w:p>
  </w:footnote>
  <w:footnote w:type="continuationNotice" w:id="1">
    <w:p w14:paraId="19C1A629" w14:textId="77777777" w:rsidR="00FE43BD" w:rsidRDefault="00FE43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A1E8D" w14:textId="77777777" w:rsidR="00A43AD0" w:rsidRDefault="00A43A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62FCAE60"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CB67E9">
                            <w:rPr>
                              <w:rFonts w:cs="B Mehr"/>
                              <w:lang w:bidi="fa-IR"/>
                            </w:rPr>
                            <w:t xml:space="preserve"> </w:t>
                          </w:r>
                          <w:r w:rsidR="003F4E57">
                            <w:rPr>
                              <w:rFonts w:cs="B Mehr" w:hint="cs"/>
                              <w:rtl/>
                              <w:lang w:bidi="fa-IR"/>
                            </w:rPr>
                            <w:t xml:space="preserve"> </w:t>
                          </w:r>
                          <w:r w:rsidR="001D3BB9">
                            <w:rPr>
                              <w:rFonts w:cs="B Mehr" w:hint="cs"/>
                              <w:rtl/>
                              <w:lang w:bidi="fa-IR"/>
                            </w:rPr>
                            <w:t>یک</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1D3BB9">
                            <w:rPr>
                              <w:rFonts w:cs="B Mehr" w:hint="cs"/>
                              <w:rtl/>
                              <w:lang w:bidi="fa-IR"/>
                            </w:rPr>
                            <w:t>27</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62FCAE60"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CB67E9">
                      <w:rPr>
                        <w:rFonts w:cs="B Mehr"/>
                        <w:lang w:bidi="fa-IR"/>
                      </w:rPr>
                      <w:t xml:space="preserve"> </w:t>
                    </w:r>
                    <w:r w:rsidR="003F4E57">
                      <w:rPr>
                        <w:rFonts w:cs="B Mehr" w:hint="cs"/>
                        <w:rtl/>
                        <w:lang w:bidi="fa-IR"/>
                      </w:rPr>
                      <w:t xml:space="preserve"> </w:t>
                    </w:r>
                    <w:r w:rsidR="001D3BB9">
                      <w:rPr>
                        <w:rFonts w:cs="B Mehr" w:hint="cs"/>
                        <w:rtl/>
                        <w:lang w:bidi="fa-IR"/>
                      </w:rPr>
                      <w:t>یک</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1D3BB9">
                      <w:rPr>
                        <w:rFonts w:cs="B Mehr" w:hint="cs"/>
                        <w:rtl/>
                        <w:lang w:bidi="fa-IR"/>
                      </w:rPr>
                      <w:t>27</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E9D8E" w14:textId="77777777" w:rsidR="00A43AD0" w:rsidRDefault="00A43AD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4102</TotalTime>
  <Pages>1</Pages>
  <Words>1106</Words>
  <Characters>6306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1220</cp:revision>
  <cp:lastPrinted>2025-04-15T09:36:00Z</cp:lastPrinted>
  <dcterms:created xsi:type="dcterms:W3CDTF">2022-10-16T08:36:00Z</dcterms:created>
  <dcterms:modified xsi:type="dcterms:W3CDTF">2025-10-20T04:24:00Z</dcterms:modified>
</cp:coreProperties>
</file>