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4E2A8" w14:textId="77777777" w:rsidR="00CB67E9" w:rsidRDefault="00CB67E9" w:rsidP="00CB67E9">
      <w:pPr>
        <w:widowControl w:val="0"/>
        <w:spacing w:after="0"/>
        <w:jc w:val="center"/>
        <w:rPr>
          <w:rFonts w:cs="QuranTaha"/>
          <w:sz w:val="28"/>
          <w:szCs w:val="28"/>
          <w:lang w:bidi="fa-IR"/>
        </w:rPr>
      </w:pPr>
      <w:bookmarkStart w:id="0" w:name="_Hlk115512063"/>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08E83C4C" w14:textId="77777777" w:rsidR="00CB67E9" w:rsidRDefault="00CB67E9" w:rsidP="00CB67E9">
      <w:pPr>
        <w:widowControl w:val="0"/>
        <w:bidi/>
        <w:spacing w:after="0"/>
        <w:jc w:val="center"/>
        <w:rPr>
          <w:rFonts w:cs="B Mitra" w:hint="cs"/>
          <w:b/>
          <w:bCs/>
          <w:sz w:val="32"/>
          <w:szCs w:val="32"/>
          <w:rtl/>
          <w:lang w:bidi="fa-IR"/>
        </w:rPr>
      </w:pPr>
      <w:r>
        <w:rPr>
          <w:rFonts w:cs="B Mitra" w:hint="cs"/>
          <w:b/>
          <w:bCs/>
          <w:sz w:val="32"/>
          <w:szCs w:val="32"/>
          <w:rtl/>
          <w:lang w:bidi="fa-IR"/>
        </w:rPr>
        <w:t>تقریر بحث اصول</w:t>
      </w:r>
    </w:p>
    <w:p w14:paraId="505DED6D" w14:textId="77777777" w:rsidR="00CB67E9" w:rsidRDefault="00CB67E9" w:rsidP="00CB67E9">
      <w:pPr>
        <w:widowControl w:val="0"/>
        <w:bidi/>
        <w:spacing w:after="240"/>
        <w:jc w:val="center"/>
        <w:rPr>
          <w:rFonts w:cs="B Mitra" w:hint="cs"/>
          <w:b/>
          <w:bCs/>
          <w:sz w:val="32"/>
          <w:szCs w:val="32"/>
          <w:rtl/>
          <w:lang w:bidi="fa-IR"/>
        </w:rPr>
      </w:pPr>
      <w:r>
        <w:rPr>
          <w:rFonts w:cs="B Mitra" w:hint="cs"/>
          <w:b/>
          <w:bCs/>
          <w:sz w:val="32"/>
          <w:szCs w:val="32"/>
          <w:rtl/>
          <w:lang w:bidi="fa-IR"/>
        </w:rPr>
        <w:t>جلسه 953</w:t>
      </w:r>
    </w:p>
    <w:bookmarkEnd w:id="0"/>
    <w:p w14:paraId="3E6A42D1" w14:textId="77777777" w:rsidR="00CB67E9" w:rsidRDefault="00CB67E9" w:rsidP="00CB67E9">
      <w:pPr>
        <w:widowControl w:val="0"/>
        <w:tabs>
          <w:tab w:val="num" w:pos="1440"/>
        </w:tabs>
        <w:bidi/>
        <w:spacing w:before="240"/>
        <w:ind w:firstLine="289"/>
        <w:jc w:val="both"/>
        <w:rPr>
          <w:rFonts w:cs="2  Mitra" w:hint="cs"/>
          <w:sz w:val="28"/>
          <w:szCs w:val="28"/>
          <w:rtl/>
        </w:rPr>
      </w:pPr>
    </w:p>
    <w:p w14:paraId="0D922C10" w14:textId="77777777" w:rsidR="00CB67E9" w:rsidRDefault="00CB67E9" w:rsidP="00CB67E9">
      <w:pPr>
        <w:widowControl w:val="0"/>
        <w:tabs>
          <w:tab w:val="num" w:pos="1440"/>
        </w:tabs>
        <w:bidi/>
        <w:spacing w:before="240"/>
        <w:ind w:firstLine="289"/>
        <w:jc w:val="both"/>
        <w:rPr>
          <w:rFonts w:cs="2  Mitra" w:hint="cs"/>
          <w:sz w:val="28"/>
          <w:szCs w:val="28"/>
          <w:rtl/>
        </w:rPr>
      </w:pPr>
      <w:r>
        <w:rPr>
          <w:rFonts w:cs="2  Mitra" w:hint="cs"/>
          <w:sz w:val="28"/>
          <w:szCs w:val="28"/>
          <w:rtl/>
        </w:rPr>
        <w:t>بحث در اين بود که مرحوم آخوند مدعی اين شده است که عموم، دارای صيغ مخصوصی است و يقين به اراده خصوص در ضمن عموم و يا کثرت تخصيص منافاتی با اين مدعا ندارد.</w:t>
      </w:r>
    </w:p>
    <w:p w14:paraId="3BB11703" w14:textId="77777777" w:rsidR="00CB67E9" w:rsidRDefault="00CB67E9" w:rsidP="00CB67E9">
      <w:pPr>
        <w:widowControl w:val="0"/>
        <w:tabs>
          <w:tab w:val="num" w:pos="1440"/>
        </w:tabs>
        <w:bidi/>
        <w:spacing w:before="240" w:line="249" w:lineRule="auto"/>
        <w:ind w:firstLine="289"/>
        <w:jc w:val="both"/>
        <w:rPr>
          <w:rFonts w:cs="2  Mitra" w:hint="cs"/>
          <w:sz w:val="28"/>
          <w:szCs w:val="28"/>
          <w:rtl/>
          <w:lang w:bidi="fa-IR"/>
        </w:rPr>
      </w:pPr>
      <w:r>
        <w:rPr>
          <w:rFonts w:cs="2  Mitra" w:hint="cs"/>
          <w:sz w:val="28"/>
          <w:szCs w:val="28"/>
          <w:rtl/>
        </w:rPr>
        <w:t>مرحوم آیت‌الله خویی نيز در پاسخ به اشکال نخست که در کلام مرحوم آخوند بیان شد، می‌فرمایند: یقین به اراده خاص چون صرفاً ناظر به اراده خارجی است، مانع از ظهور لفظ در عموم نمی‌شود؛ نهایت آن که لفظ نسبت به اراده خصوص نص، و نسبت به اراده عموم ظاهر خواهد بود، و بحث نیز در همین ظهور یا عدم آن می‌باشد.</w:t>
      </w:r>
    </w:p>
    <w:p w14:paraId="13CCA695" w14:textId="77777777" w:rsidR="00CB67E9" w:rsidRDefault="00CB67E9" w:rsidP="00CB67E9">
      <w:pPr>
        <w:widowControl w:val="0"/>
        <w:tabs>
          <w:tab w:val="num" w:pos="1440"/>
        </w:tabs>
        <w:bidi/>
        <w:spacing w:before="240" w:line="249" w:lineRule="auto"/>
        <w:ind w:firstLine="289"/>
        <w:jc w:val="both"/>
        <w:rPr>
          <w:rFonts w:cs="2  Mitra"/>
          <w:sz w:val="28"/>
          <w:szCs w:val="28"/>
        </w:rPr>
      </w:pPr>
      <w:r>
        <w:rPr>
          <w:rFonts w:cs="2  Mitra" w:hint="cs"/>
          <w:sz w:val="28"/>
          <w:szCs w:val="28"/>
          <w:rtl/>
        </w:rPr>
        <w:t>ایشان در پاسخ به اشکال دوم نیز می‌فرمایند: بر فرض پذیرش این‌که خاص معنای مجازی عام باشد، این امر به گونه‌ای نیست که اراده عموم از آن نیازمند قرینه گردد ـ همانند مجاز مشهور ـ بلکه عام همچنان ظهور در عموم داشته و اراده خاص از آن نیازمند قرینه می</w:t>
      </w:r>
      <w:r>
        <w:rPr>
          <w:rFonts w:cs="2  Mitra" w:hint="cs"/>
          <w:sz w:val="28"/>
          <w:szCs w:val="28"/>
          <w:rtl/>
        </w:rPr>
        <w:softHyphen/>
        <w:t>باشد.</w:t>
      </w:r>
      <w:r>
        <w:rPr>
          <w:rStyle w:val="FootnoteReference"/>
          <w:rFonts w:cs="2  Mitra"/>
          <w:spacing w:val="-2"/>
          <w:sz w:val="28"/>
          <w:szCs w:val="28"/>
          <w:rtl/>
        </w:rPr>
        <w:footnoteReference w:id="2"/>
      </w:r>
    </w:p>
    <w:p w14:paraId="2D1F6976" w14:textId="77777777" w:rsidR="00CB67E9" w:rsidRDefault="00CB67E9" w:rsidP="00CB67E9">
      <w:pPr>
        <w:widowControl w:val="0"/>
        <w:tabs>
          <w:tab w:val="num" w:pos="1440"/>
        </w:tabs>
        <w:bidi/>
        <w:spacing w:before="240" w:line="249" w:lineRule="auto"/>
        <w:ind w:firstLine="289"/>
        <w:jc w:val="both"/>
        <w:rPr>
          <w:rFonts w:cs="2  Mitra" w:hint="cs"/>
          <w:sz w:val="28"/>
          <w:szCs w:val="28"/>
          <w:rtl/>
          <w:lang w:bidi="fa-IR"/>
        </w:rPr>
      </w:pPr>
      <w:r>
        <w:rPr>
          <w:rFonts w:cs="2  Mitra" w:hint="cs"/>
          <w:sz w:val="28"/>
          <w:szCs w:val="28"/>
          <w:rtl/>
        </w:rPr>
        <w:t>حق نيز در اين مطلب همين است که وجهی برای انکار وجود صيغه برای عموم وجود ندارد.</w:t>
      </w:r>
    </w:p>
    <w:p w14:paraId="291DAAB6" w14:textId="77777777" w:rsidR="00CB67E9" w:rsidRDefault="00CB67E9" w:rsidP="00CB67E9">
      <w:pPr>
        <w:widowControl w:val="0"/>
        <w:tabs>
          <w:tab w:val="num" w:pos="1440"/>
        </w:tabs>
        <w:bidi/>
        <w:spacing w:before="240" w:line="249" w:lineRule="auto"/>
        <w:ind w:firstLine="289"/>
        <w:jc w:val="both"/>
        <w:rPr>
          <w:rFonts w:cs="2  Mitra"/>
          <w:sz w:val="28"/>
          <w:szCs w:val="28"/>
          <w:lang w:bidi="fa-IR"/>
        </w:rPr>
      </w:pPr>
      <w:r>
        <w:rPr>
          <w:rFonts w:cs="2  Mitra" w:hint="cs"/>
          <w:sz w:val="28"/>
          <w:szCs w:val="28"/>
          <w:rtl/>
        </w:rPr>
        <w:t xml:space="preserve">امّا نکته‌ای که در این مقام شایسته بررسی است، برخی از صیغه‌هایی است که برای عموم ذکر شده‌اند که در ادامه، به بررسی دلالت یا عدم دلالت آن‌ها بر عموم، و در برخی از موارد بعد از فراغ از اصل دلالت، به کیفیت دلالت آن‌ها بر عموم خواهیم پرداخت </w:t>
      </w:r>
      <w:r>
        <w:rPr>
          <w:rFonts w:cs="2  Mitra" w:hint="cs"/>
          <w:sz w:val="28"/>
          <w:szCs w:val="28"/>
          <w:rtl/>
          <w:lang w:bidi="fa-IR"/>
        </w:rPr>
        <w:t>ان شاء الله.</w:t>
      </w:r>
    </w:p>
    <w:p w14:paraId="722ACF99" w14:textId="77777777" w:rsidR="00CB67E9" w:rsidRDefault="00CB67E9" w:rsidP="00CB67E9">
      <w:pPr>
        <w:widowControl w:val="0"/>
        <w:tabs>
          <w:tab w:val="num" w:pos="1440"/>
        </w:tabs>
        <w:bidi/>
        <w:spacing w:before="240" w:line="252" w:lineRule="auto"/>
        <w:ind w:firstLine="289"/>
        <w:jc w:val="both"/>
        <w:rPr>
          <w:rFonts w:ascii="Neirizi" w:hAnsi="Neirizi" w:cs="Neirizi" w:hint="cs"/>
          <w:spacing w:val="14"/>
          <w:sz w:val="24"/>
          <w:szCs w:val="24"/>
          <w:rtl/>
          <w:lang w:bidi="fa-IR"/>
        </w:rPr>
      </w:pPr>
      <w:r>
        <w:rPr>
          <w:rFonts w:ascii="Neirizi" w:hAnsi="Neirizi" w:cs="Neirizi"/>
          <w:spacing w:val="14"/>
          <w:sz w:val="24"/>
          <w:szCs w:val="24"/>
          <w:rtl/>
          <w:lang w:bidi="fa-IR"/>
        </w:rPr>
        <w:t xml:space="preserve">1 </w:t>
      </w:r>
      <w:r>
        <w:rPr>
          <w:rFonts w:ascii="Neirizi" w:hAnsi="Neirizi" w:cs="Neirizi"/>
          <w:sz w:val="24"/>
          <w:szCs w:val="24"/>
          <w:rtl/>
          <w:lang w:bidi="fa-IR"/>
        </w:rPr>
        <w:t>ـــ</w:t>
      </w:r>
      <w:r>
        <w:rPr>
          <w:rFonts w:ascii="Neirizi" w:hAnsi="Neirizi" w:cs="Neirizi"/>
          <w:spacing w:val="14"/>
          <w:sz w:val="24"/>
          <w:szCs w:val="24"/>
          <w:rtl/>
          <w:lang w:bidi="fa-IR"/>
        </w:rPr>
        <w:t xml:space="preserve"> نکره در سياق نهی يا نفی</w:t>
      </w:r>
    </w:p>
    <w:p w14:paraId="6F6B055C" w14:textId="77777777" w:rsidR="00CB67E9" w:rsidRDefault="00CB67E9" w:rsidP="00CB67E9">
      <w:pPr>
        <w:widowControl w:val="0"/>
        <w:tabs>
          <w:tab w:val="num" w:pos="1440"/>
        </w:tabs>
        <w:bidi/>
        <w:spacing w:before="240" w:line="252" w:lineRule="auto"/>
        <w:ind w:firstLine="289"/>
        <w:jc w:val="both"/>
        <w:rPr>
          <w:rFonts w:cs="2  Mitra"/>
          <w:sz w:val="28"/>
          <w:szCs w:val="28"/>
          <w:rtl/>
          <w:lang w:bidi="fa-IR"/>
        </w:rPr>
      </w:pPr>
      <w:r>
        <w:rPr>
          <w:rFonts w:cs="2  Mitra" w:hint="cs"/>
          <w:sz w:val="28"/>
          <w:szCs w:val="28"/>
          <w:rtl/>
        </w:rPr>
        <w:t xml:space="preserve">مرحوم آخوند یکی از </w:t>
      </w:r>
      <w:r>
        <w:rPr>
          <w:rFonts w:cs="2  Mitra" w:hint="cs"/>
          <w:sz w:val="28"/>
          <w:szCs w:val="28"/>
          <w:rtl/>
          <w:lang w:bidi="fa-IR"/>
        </w:rPr>
        <w:t>صیغه</w:t>
      </w:r>
      <w:r>
        <w:rPr>
          <w:rFonts w:cs="2  Mitra" w:hint="cs"/>
          <w:sz w:val="28"/>
          <w:szCs w:val="28"/>
          <w:rtl/>
          <w:lang w:bidi="fa-IR"/>
        </w:rPr>
        <w:softHyphen/>
        <w:t>های</w:t>
      </w:r>
      <w:r>
        <w:rPr>
          <w:rFonts w:cs="2  Mitra" w:hint="cs"/>
          <w:sz w:val="28"/>
          <w:szCs w:val="28"/>
          <w:rtl/>
        </w:rPr>
        <w:t xml:space="preserve"> دال بر عموم را «نکره در سیاق نفی یا نهی» دانسته و دلالت آن بر عموم را از نظر عقلی </w:t>
      </w:r>
      <w:r>
        <w:rPr>
          <w:rFonts w:cs="2  Mitra" w:hint="cs"/>
          <w:sz w:val="28"/>
          <w:szCs w:val="28"/>
          <w:rtl/>
        </w:rPr>
        <w:lastRenderedPageBreak/>
        <w:t>انکارناپذیر شمرده‌اند. استدلال ایشان بر اين مدعا چنین است که بدیهی است یک طبیعت، معدوم نخواهد بود مگر آن که هیچ فردی از آن موجود نباشد، وگرنه آن طبیعت موجود خواهد بود</w:t>
      </w:r>
      <w:r>
        <w:rPr>
          <w:rFonts w:cs="2  Mitra" w:hint="cs"/>
          <w:sz w:val="28"/>
          <w:szCs w:val="28"/>
          <w:rtl/>
          <w:lang w:bidi="fa-IR"/>
        </w:rPr>
        <w:t>.</w:t>
      </w:r>
    </w:p>
    <w:p w14:paraId="77B98019" w14:textId="77777777" w:rsidR="00CB67E9" w:rsidRDefault="00CB67E9" w:rsidP="00CB67E9">
      <w:pPr>
        <w:widowControl w:val="0"/>
        <w:tabs>
          <w:tab w:val="num" w:pos="1440"/>
        </w:tabs>
        <w:bidi/>
        <w:spacing w:before="240" w:line="252" w:lineRule="auto"/>
        <w:ind w:firstLine="289"/>
        <w:jc w:val="both"/>
        <w:rPr>
          <w:rFonts w:cs="2  Mitra"/>
          <w:sz w:val="28"/>
          <w:szCs w:val="28"/>
          <w:lang w:bidi="fa-IR"/>
        </w:rPr>
      </w:pPr>
      <w:r>
        <w:rPr>
          <w:rFonts w:cs="2  Mitra" w:hint="cs"/>
          <w:sz w:val="28"/>
          <w:szCs w:val="28"/>
          <w:rtl/>
        </w:rPr>
        <w:t>با این حال ایشان دلالت نکره در سياق نهی یا نفی بر عموم را مشروط به این دانسته‌اند که نکره به صورت مطلق اخذ شده باشد، نه مقید به قیدی خاص، وگرنه سلب آن تنها شمول نسبت به همان مقید را افاده می‌کند، نه شمول بر تمام افرادی که طبیعت صلاحیت انطباق بر آن‌ها را دارد</w:t>
      </w:r>
      <w:r>
        <w:rPr>
          <w:rFonts w:cs="2  Mitra" w:hint="cs"/>
          <w:sz w:val="28"/>
          <w:szCs w:val="28"/>
          <w:rtl/>
          <w:lang w:bidi="fa-IR"/>
        </w:rPr>
        <w:t>.</w:t>
      </w:r>
    </w:p>
    <w:p w14:paraId="22742BA8" w14:textId="77777777" w:rsidR="00CB67E9" w:rsidRDefault="00CB67E9" w:rsidP="00CB67E9">
      <w:pPr>
        <w:widowControl w:val="0"/>
        <w:tabs>
          <w:tab w:val="num" w:pos="1440"/>
        </w:tabs>
        <w:bidi/>
        <w:spacing w:before="240" w:line="249" w:lineRule="auto"/>
        <w:ind w:firstLine="289"/>
        <w:jc w:val="both"/>
        <w:rPr>
          <w:rFonts w:cs="2  Mitra"/>
          <w:sz w:val="28"/>
          <w:szCs w:val="28"/>
          <w:lang w:bidi="fa-IR"/>
        </w:rPr>
      </w:pPr>
      <w:r>
        <w:rPr>
          <w:rFonts w:cs="2  Mitra" w:hint="cs"/>
          <w:sz w:val="28"/>
          <w:szCs w:val="28"/>
          <w:rtl/>
        </w:rPr>
        <w:t>ایشان در حاشیه کفایه نیز تصریح کرده‌اند که اگر اطلاق به وسیله مقدمات حکمت ثابت نشود، نتیجه آن اخذ طبیعت به نحو مهمل است که نفی آن، حداکثر نفی طبیعت به طور فی الجمله در ضمن برخی از اصناف آن را افاده می‌نماید.</w:t>
      </w:r>
    </w:p>
    <w:p w14:paraId="5DBB8726" w14:textId="77777777" w:rsidR="00CB67E9" w:rsidRDefault="00CB67E9" w:rsidP="00CB67E9">
      <w:pPr>
        <w:widowControl w:val="0"/>
        <w:tabs>
          <w:tab w:val="num" w:pos="1440"/>
        </w:tabs>
        <w:bidi/>
        <w:spacing w:before="240" w:line="249" w:lineRule="auto"/>
        <w:ind w:firstLine="289"/>
        <w:jc w:val="both"/>
        <w:rPr>
          <w:rFonts w:cs="2  Mitra"/>
          <w:sz w:val="28"/>
          <w:szCs w:val="28"/>
          <w:lang w:bidi="fa-IR"/>
        </w:rPr>
      </w:pPr>
      <w:r>
        <w:rPr>
          <w:rFonts w:cs="2  Mitra" w:hint="cs"/>
          <w:sz w:val="28"/>
          <w:szCs w:val="28"/>
          <w:rtl/>
        </w:rPr>
        <w:t>سپس افزوده‌اند که لزوم تمامیت مقدمات حکمت برای اخذ به عموم نکره در سیاق نهی یا نفی، منافاتی با عقلی بودن دلالت آن بر عموم ندارد؛ زیرا این دلالت تنها نسبت به افرادی که از نکره اراده شده جاری است، نه نسبت به تمام افرادی که طبیعت صلاحیت انطباق بر آن‌ها را دارد.</w:t>
      </w:r>
      <w:r>
        <w:rPr>
          <w:rStyle w:val="FootnoteReference"/>
          <w:rFonts w:cs="2  Mitra"/>
          <w:spacing w:val="-2"/>
          <w:sz w:val="28"/>
          <w:szCs w:val="28"/>
          <w:rtl/>
        </w:rPr>
        <w:footnoteReference w:id="3"/>
      </w:r>
    </w:p>
    <w:p w14:paraId="7E3CA2B4" w14:textId="77777777" w:rsidR="00CB67E9" w:rsidRDefault="00CB67E9" w:rsidP="00CB67E9">
      <w:pPr>
        <w:widowControl w:val="0"/>
        <w:tabs>
          <w:tab w:val="num" w:pos="1440"/>
        </w:tabs>
        <w:bidi/>
        <w:spacing w:before="240" w:line="249" w:lineRule="auto"/>
        <w:ind w:firstLine="289"/>
        <w:jc w:val="both"/>
        <w:rPr>
          <w:rFonts w:cs="2  Mitra"/>
          <w:sz w:val="28"/>
          <w:szCs w:val="28"/>
          <w:lang w:bidi="fa-IR"/>
        </w:rPr>
      </w:pPr>
      <w:r>
        <w:rPr>
          <w:rFonts w:cs="2  Mitra" w:hint="cs"/>
          <w:sz w:val="28"/>
          <w:szCs w:val="28"/>
          <w:rtl/>
          <w:lang w:bidi="fa-IR"/>
        </w:rPr>
        <w:t>اما آنچه که ايشان در خصوص دلالت عقلی بر عموم در نکره در سياق نهی فرموده</w:t>
      </w:r>
      <w:r>
        <w:rPr>
          <w:rFonts w:cs="2  Mitra" w:hint="cs"/>
          <w:sz w:val="28"/>
          <w:szCs w:val="28"/>
          <w:rtl/>
          <w:lang w:bidi="fa-IR"/>
        </w:rPr>
        <w:softHyphen/>
        <w:t>اند، مدعای تمامی نيست.</w:t>
      </w:r>
    </w:p>
    <w:p w14:paraId="773AD4CA" w14:textId="77777777" w:rsidR="00CB67E9" w:rsidRDefault="00CB67E9" w:rsidP="00CB67E9">
      <w:pPr>
        <w:widowControl w:val="0"/>
        <w:tabs>
          <w:tab w:val="num" w:pos="1440"/>
        </w:tabs>
        <w:bidi/>
        <w:spacing w:before="240" w:line="249" w:lineRule="auto"/>
        <w:ind w:firstLine="289"/>
        <w:jc w:val="both"/>
        <w:rPr>
          <w:rFonts w:cs="B Mitra" w:hint="cs"/>
          <w:sz w:val="28"/>
          <w:szCs w:val="28"/>
          <w:rtl/>
          <w:lang w:bidi="fa-IR"/>
        </w:rPr>
      </w:pPr>
      <w:r>
        <w:rPr>
          <w:rFonts w:cs="2  Mitra" w:hint="cs"/>
          <w:sz w:val="28"/>
          <w:szCs w:val="28"/>
          <w:rtl/>
        </w:rPr>
        <w:t xml:space="preserve">توضیح آن‌که ـ همان‌گونه که در مباحث مقدماتی نواهی گذشت ـ </w:t>
      </w:r>
      <w:r>
        <w:rPr>
          <w:rFonts w:cs="B Mitra" w:hint="cs"/>
          <w:sz w:val="28"/>
          <w:szCs w:val="28"/>
          <w:rtl/>
        </w:rPr>
        <w:t>نهی، موجب زجر از فعل است و امتثال آن به ترک طبیعت تحقق می‌یابد که امری عدمی است. این عدم، همان‌طور که می‌تواند اضافی باشد، ممکن است مطلق نیز باشد. در نتیجه امتثال نهی عقلاً هم با عدم اضافی ممکن است و هم با عدم مطلق. با این حال، چون تحقق امتثال با عدم اضافی نیازمند مؤونه زائده است، بدون قرینه نمی‌توان به آن ملتزم شد. بنابر این اگر نهی به صرف طبیعت تعلق گیرد، مقتضای اطلاق مقامی آن لزوم امتثال به عدم مطلق است</w:t>
      </w:r>
      <w:r>
        <w:rPr>
          <w:rFonts w:cs="B Mitra" w:hint="cs"/>
          <w:sz w:val="28"/>
          <w:szCs w:val="28"/>
          <w:rtl/>
          <w:lang w:bidi="fa-IR"/>
        </w:rPr>
        <w:t>.</w:t>
      </w:r>
    </w:p>
    <w:p w14:paraId="27023DE6" w14:textId="77777777" w:rsidR="00CB67E9" w:rsidRDefault="00CB67E9" w:rsidP="00CB67E9">
      <w:pPr>
        <w:widowControl w:val="0"/>
        <w:bidi/>
        <w:spacing w:before="240" w:line="249" w:lineRule="auto"/>
        <w:ind w:firstLine="289"/>
        <w:jc w:val="both"/>
        <w:rPr>
          <w:rFonts w:cs="B Mitra" w:hint="cs"/>
          <w:sz w:val="28"/>
          <w:szCs w:val="28"/>
          <w:rtl/>
          <w:lang w:bidi="fa-IR"/>
        </w:rPr>
      </w:pPr>
      <w:r>
        <w:rPr>
          <w:rFonts w:cs="B Mitra" w:hint="cs"/>
          <w:sz w:val="28"/>
          <w:szCs w:val="28"/>
          <w:rtl/>
        </w:rPr>
        <w:t>به بیان دیگر: مقتضای اطلاق نهی تعلق گرفته به صرف طبیعت، ترک طبیعت منهی‌عنه در ضمن همه افراد آن است؛ زیرا عدم مطلق طبیعت جز با ترک جميع افراد آن تحقق نمی‌یابد</w:t>
      </w:r>
      <w:r>
        <w:rPr>
          <w:rFonts w:cs="B Mitra" w:hint="cs"/>
          <w:sz w:val="28"/>
          <w:szCs w:val="28"/>
          <w:rtl/>
          <w:lang w:bidi="fa-IR"/>
        </w:rPr>
        <w:t xml:space="preserve">. </w:t>
      </w:r>
    </w:p>
    <w:p w14:paraId="1C0D656B" w14:textId="77777777" w:rsidR="00CB67E9" w:rsidRDefault="00CB67E9" w:rsidP="00CB67E9">
      <w:pPr>
        <w:widowControl w:val="0"/>
        <w:bidi/>
        <w:spacing w:before="240" w:line="249" w:lineRule="auto"/>
        <w:ind w:firstLine="289"/>
        <w:jc w:val="both"/>
        <w:rPr>
          <w:rFonts w:cs="B Mitra"/>
          <w:spacing w:val="-4"/>
          <w:sz w:val="28"/>
          <w:szCs w:val="28"/>
          <w:lang w:bidi="fa-IR"/>
        </w:rPr>
      </w:pPr>
      <w:r>
        <w:rPr>
          <w:rFonts w:cs="B Mitra" w:hint="cs"/>
          <w:spacing w:val="-4"/>
          <w:sz w:val="28"/>
          <w:szCs w:val="28"/>
          <w:rtl/>
          <w:lang w:bidi="fa-IR"/>
        </w:rPr>
        <w:t>پس دلالت نهی بر لزوم ترک جمیع افراد طبیعت، ناشی از اطلاق مقامی آن است نه ناشی از حکم عقل.</w:t>
      </w:r>
    </w:p>
    <w:p w14:paraId="48F86A93" w14:textId="77777777" w:rsidR="00CB67E9" w:rsidRDefault="00CB67E9" w:rsidP="00CB67E9">
      <w:pPr>
        <w:widowControl w:val="0"/>
        <w:bidi/>
        <w:spacing w:before="240" w:line="249" w:lineRule="auto"/>
        <w:ind w:firstLine="289"/>
        <w:jc w:val="both"/>
        <w:rPr>
          <w:rFonts w:cs="B Mitra" w:hint="cs"/>
          <w:spacing w:val="-4"/>
          <w:sz w:val="28"/>
          <w:szCs w:val="28"/>
          <w:rtl/>
          <w:lang w:bidi="fa-IR"/>
        </w:rPr>
      </w:pPr>
      <w:r>
        <w:rPr>
          <w:rFonts w:cs="B Mitra" w:hint="cs"/>
          <w:spacing w:val="-4"/>
          <w:sz w:val="28"/>
          <w:szCs w:val="28"/>
          <w:rtl/>
        </w:rPr>
        <w:lastRenderedPageBreak/>
        <w:t>و در آنچه که گذشت، تفاوتی میان</w:t>
      </w:r>
      <w:r>
        <w:rPr>
          <w:rFonts w:cs="B Mitra" w:hint="cs"/>
          <w:spacing w:val="-4"/>
          <w:sz w:val="28"/>
          <w:szCs w:val="28"/>
          <w:rtl/>
          <w:lang w:bidi="fa-IR"/>
        </w:rPr>
        <w:t xml:space="preserve"> اين که آنچه در سياق نهی واقع شده، نکره باشد يا معرفه، وجود ندارد، </w:t>
      </w:r>
      <w:r>
        <w:rPr>
          <w:rFonts w:cs="B Mitra" w:hint="cs"/>
          <w:spacing w:val="-4"/>
          <w:sz w:val="28"/>
          <w:szCs w:val="28"/>
          <w:rtl/>
        </w:rPr>
        <w:t xml:space="preserve">از این رو اگر </w:t>
      </w:r>
      <w:r>
        <w:rPr>
          <w:rFonts w:cs="B Mitra" w:hint="cs"/>
          <w:spacing w:val="-4"/>
          <w:sz w:val="28"/>
          <w:szCs w:val="28"/>
          <w:rtl/>
          <w:lang w:bidi="fa-IR"/>
        </w:rPr>
        <w:t>گفته شود: «</w:t>
      </w:r>
      <w:r>
        <w:rPr>
          <w:rFonts w:cs="Abz-2 (Badr)" w:hint="cs"/>
          <w:spacing w:val="-4"/>
          <w:sz w:val="28"/>
          <w:szCs w:val="28"/>
          <w:rtl/>
          <w:lang w:bidi="fa-IR"/>
        </w:rPr>
        <w:t>لا تکرم الفاسق</w:t>
      </w:r>
      <w:r>
        <w:rPr>
          <w:rFonts w:cs="B Mitra" w:hint="cs"/>
          <w:spacing w:val="-4"/>
          <w:sz w:val="28"/>
          <w:szCs w:val="28"/>
          <w:rtl/>
          <w:lang w:bidi="fa-IR"/>
        </w:rPr>
        <w:t>» نيز می</w:t>
      </w:r>
      <w:r>
        <w:rPr>
          <w:rFonts w:cs="B Mitra" w:hint="cs"/>
          <w:spacing w:val="-4"/>
          <w:sz w:val="28"/>
          <w:szCs w:val="28"/>
          <w:rtl/>
          <w:lang w:bidi="fa-IR"/>
        </w:rPr>
        <w:softHyphen/>
        <w:t>توان ادعا کرد که اين نهی، افاده عموم می</w:t>
      </w:r>
      <w:r>
        <w:rPr>
          <w:rFonts w:cs="B Mitra" w:hint="cs"/>
          <w:spacing w:val="-4"/>
          <w:sz w:val="28"/>
          <w:szCs w:val="28"/>
          <w:rtl/>
          <w:lang w:bidi="fa-IR"/>
        </w:rPr>
        <w:softHyphen/>
        <w:t>کند، ولو اين که لام جنس را مفيد عموم ندانيم.</w:t>
      </w:r>
    </w:p>
    <w:p w14:paraId="7D1D65C9" w14:textId="77777777" w:rsidR="00CB67E9" w:rsidRDefault="00CB67E9" w:rsidP="00CB67E9">
      <w:pPr>
        <w:widowControl w:val="0"/>
        <w:bidi/>
        <w:spacing w:before="240" w:line="264" w:lineRule="auto"/>
        <w:ind w:firstLine="289"/>
        <w:jc w:val="both"/>
        <w:rPr>
          <w:rFonts w:cs="B Mitra" w:hint="cs"/>
          <w:spacing w:val="-4"/>
          <w:sz w:val="28"/>
          <w:szCs w:val="28"/>
          <w:rtl/>
        </w:rPr>
      </w:pPr>
      <w:r>
        <w:rPr>
          <w:rFonts w:cs="B Mitra" w:hint="cs"/>
          <w:spacing w:val="-4"/>
          <w:sz w:val="28"/>
          <w:szCs w:val="28"/>
          <w:rtl/>
          <w:lang w:bidi="fa-IR"/>
        </w:rPr>
        <w:t xml:space="preserve">اما </w:t>
      </w:r>
      <w:r>
        <w:rPr>
          <w:rFonts w:cs="B Mitra" w:hint="cs"/>
          <w:spacing w:val="-4"/>
          <w:sz w:val="28"/>
          <w:szCs w:val="28"/>
          <w:rtl/>
        </w:rPr>
        <w:t>آنچه مرحوم آخوند درباره اطلاق موضوع نهی فرموده‌اند در بحث از استفاده عموم از مدخول «کل» مورد بررسی قرار خواهد گرفت.</w:t>
      </w:r>
    </w:p>
    <w:p w14:paraId="6BD6CECC" w14:textId="77777777" w:rsidR="00CB67E9" w:rsidRDefault="00CB67E9" w:rsidP="00CB67E9">
      <w:pPr>
        <w:widowControl w:val="0"/>
        <w:bidi/>
        <w:spacing w:before="240" w:line="264" w:lineRule="auto"/>
        <w:ind w:firstLine="289"/>
        <w:jc w:val="both"/>
        <w:rPr>
          <w:rFonts w:cs="B Mitra" w:hint="cs"/>
          <w:spacing w:val="-4"/>
          <w:sz w:val="28"/>
          <w:szCs w:val="28"/>
          <w:rtl/>
        </w:rPr>
      </w:pPr>
      <w:r>
        <w:rPr>
          <w:rFonts w:cs="B Mitra" w:hint="cs"/>
          <w:spacing w:val="-4"/>
          <w:sz w:val="28"/>
          <w:szCs w:val="28"/>
          <w:rtl/>
        </w:rPr>
        <w:t>بنابر این برای توجيه افاده عموم توسط نکره واقع در سياق نهی، بايد به نحو ديگری مطلب را توجيه نمود که جلسه آينده به بيان آن خواهيم پرداخت ان شاء الله.</w:t>
      </w:r>
    </w:p>
    <w:p w14:paraId="2AC84ED6" w14:textId="77777777" w:rsidR="00CB67E9" w:rsidRDefault="00CB67E9" w:rsidP="00CB67E9">
      <w:pPr>
        <w:rPr>
          <w:rFonts w:cs="B Mitra" w:hint="cs"/>
          <w:spacing w:val="-4"/>
          <w:sz w:val="28"/>
          <w:szCs w:val="28"/>
          <w:rtl/>
        </w:rPr>
      </w:pPr>
      <w:r>
        <w:rPr>
          <w:rFonts w:cs="B Mitra" w:hint="cs"/>
          <w:spacing w:val="-4"/>
          <w:sz w:val="28"/>
          <w:szCs w:val="28"/>
          <w:rtl/>
        </w:rPr>
        <w:br w:type="page"/>
      </w:r>
    </w:p>
    <w:p w14:paraId="618542C7" w14:textId="77777777" w:rsidR="00CB67E9" w:rsidRDefault="00CB67E9" w:rsidP="00CB67E9">
      <w:pPr>
        <w:widowControl w:val="0"/>
        <w:bidi/>
        <w:spacing w:after="0"/>
        <w:ind w:firstLine="284"/>
        <w:jc w:val="both"/>
        <w:rPr>
          <w:rFonts w:ascii="Amiri" w:hAnsi="Amiri" w:cs="Abz-2 (Badr)" w:hint="cs"/>
          <w:sz w:val="28"/>
          <w:szCs w:val="28"/>
          <w:rtl/>
        </w:rPr>
      </w:pPr>
      <w:r>
        <w:rPr>
          <w:rFonts w:ascii="Amiri" w:hAnsi="Amiri" w:cs="Abz-2 (Badr)" w:hint="cs"/>
          <w:sz w:val="28"/>
          <w:szCs w:val="28"/>
          <w:rtl/>
        </w:rPr>
        <w:lastRenderedPageBreak/>
        <w:t>كان البحث في أنّ الآخوند ادّعى أنّ للعموم صيغاً مخصوصة وأنّ اليقين بإرادة الخصوص في ضمن العامّ أو كثرة التخصيص، لا ينافيان هذه الدعوى.</w:t>
      </w:r>
    </w:p>
    <w:p w14:paraId="505FC0BB" w14:textId="77777777" w:rsidR="00CB67E9" w:rsidRDefault="00CB67E9" w:rsidP="00CB67E9">
      <w:pPr>
        <w:widowControl w:val="0"/>
        <w:bidi/>
        <w:spacing w:after="0"/>
        <w:ind w:firstLine="284"/>
        <w:jc w:val="both"/>
        <w:rPr>
          <w:rFonts w:ascii="Amiri" w:hAnsi="Amiri" w:cs="Abz-2 (Badr)" w:hint="cs"/>
          <w:sz w:val="28"/>
          <w:szCs w:val="28"/>
          <w:rtl/>
        </w:rPr>
      </w:pPr>
      <w:r>
        <w:rPr>
          <w:rFonts w:ascii="Amiri" w:hAnsi="Amiri" w:cs="Abz-2 (Badr)" w:hint="cs"/>
          <w:sz w:val="28"/>
          <w:szCs w:val="28"/>
          <w:rtl/>
        </w:rPr>
        <w:t>وقد أجاب السيّد الخوئي عن الإشكال الأوّل المذكور في كلام الآخوند بأنّ اليقين بإرادة الخاصّ إنّما يتعلّق بالإرادة الخارجيّة، فلا يمنع من ظهور اللفظ في العموم؛ غايته أنّ اللفظ يكون نصّاً في إرادة الخصوص وظاهراً في إرادة العموم، والبحث إنّما هو في هذا الظهور ثبوتاً ونفياً.</w:t>
      </w:r>
    </w:p>
    <w:p w14:paraId="0471AA1E" w14:textId="77777777" w:rsidR="00CB67E9" w:rsidRDefault="00CB67E9" w:rsidP="00CB67E9">
      <w:pPr>
        <w:widowControl w:val="0"/>
        <w:bidi/>
        <w:spacing w:after="0"/>
        <w:ind w:firstLine="284"/>
        <w:jc w:val="both"/>
        <w:rPr>
          <w:rFonts w:ascii="Amiri" w:hAnsi="Amiri" w:cs="Abz-2 (Badr)"/>
          <w:sz w:val="28"/>
          <w:szCs w:val="28"/>
        </w:rPr>
      </w:pPr>
      <w:r>
        <w:rPr>
          <w:rFonts w:ascii="Amiri" w:hAnsi="Amiri" w:cs="Abz-2 (Badr)" w:hint="cs"/>
          <w:sz w:val="28"/>
          <w:szCs w:val="28"/>
          <w:rtl/>
        </w:rPr>
        <w:t>كما أجاب عن الإشكال الثاني بأنّه على فرض التسليم بأنّ الخاصّ مجاز في العامّ، فليس ذلك من المجاز المشهور الذي يقتضي جعل إرادة العموم محتاجة إلى قرينة، بل يبقى العامّ ظاهراً في العموم، وتكون إرادة الخصوص منه محتاجة إلى القرينة.</w:t>
      </w:r>
      <w:r>
        <w:rPr>
          <w:rStyle w:val="FootnoteReference"/>
          <w:rFonts w:cs="Abz-2 (Badr)"/>
          <w:spacing w:val="-2"/>
          <w:sz w:val="28"/>
          <w:szCs w:val="28"/>
          <w:rtl/>
        </w:rPr>
        <w:footnoteReference w:id="4"/>
      </w:r>
    </w:p>
    <w:p w14:paraId="1797EEC2" w14:textId="77777777" w:rsidR="00CB67E9" w:rsidRDefault="00CB67E9" w:rsidP="00CB67E9">
      <w:pPr>
        <w:widowControl w:val="0"/>
        <w:bidi/>
        <w:spacing w:after="0"/>
        <w:ind w:firstLine="284"/>
        <w:jc w:val="both"/>
        <w:rPr>
          <w:rFonts w:ascii="Amiri" w:hAnsi="Amiri" w:cs="Abz-2 (Badr)"/>
          <w:sz w:val="28"/>
          <w:szCs w:val="28"/>
        </w:rPr>
      </w:pPr>
      <w:r>
        <w:rPr>
          <w:rFonts w:ascii="Amiri" w:hAnsi="Amiri" w:cs="Abz-2 (Badr)" w:hint="cs"/>
          <w:sz w:val="28"/>
          <w:szCs w:val="28"/>
          <w:rtl/>
        </w:rPr>
        <w:t>والحقّ أيضاً هو أنّه لا وجه لإنكار وجود صيغ للعموم.</w:t>
      </w:r>
    </w:p>
    <w:p w14:paraId="3AAF423F" w14:textId="77777777" w:rsidR="00CB67E9" w:rsidRDefault="00CB67E9" w:rsidP="00CB67E9">
      <w:pPr>
        <w:widowControl w:val="0"/>
        <w:bidi/>
        <w:spacing w:after="0"/>
        <w:ind w:firstLine="284"/>
        <w:jc w:val="both"/>
        <w:rPr>
          <w:rFonts w:ascii="Amiri" w:hAnsi="Amiri" w:cs="Abz-2 (Badr)" w:hint="cs"/>
          <w:sz w:val="28"/>
          <w:szCs w:val="28"/>
          <w:rtl/>
        </w:rPr>
      </w:pPr>
      <w:r>
        <w:rPr>
          <w:rFonts w:ascii="Amiri" w:hAnsi="Amiri" w:cs="Abz-2 (Badr)" w:hint="cs"/>
          <w:sz w:val="28"/>
          <w:szCs w:val="28"/>
          <w:rtl/>
        </w:rPr>
        <w:t>ثمّ إنّ بعض الصيغ التي ذكرت للعموم تحتاج إلى تحقيق في دلالتها؛ فبعضها يبحث في أصل إفادتها للعموم أو عدمه، وبعضها الآخر ـ بعد الفراغ عن إفادتها له ـ يبحث في كيفيّة تلك الدلالة وحدودها، وسيأتي تفصيل الكلام في ذلك في المطالب التالية.</w:t>
      </w:r>
    </w:p>
    <w:p w14:paraId="708D4672" w14:textId="77777777" w:rsidR="00CB67E9" w:rsidRDefault="00CB67E9" w:rsidP="00CB67E9">
      <w:pPr>
        <w:widowControl w:val="0"/>
        <w:tabs>
          <w:tab w:val="num" w:pos="1440"/>
        </w:tabs>
        <w:bidi/>
        <w:spacing w:before="240" w:line="252" w:lineRule="auto"/>
        <w:ind w:firstLine="289"/>
        <w:jc w:val="both"/>
        <w:rPr>
          <w:rFonts w:ascii="Neirizi" w:hAnsi="Neirizi" w:cs="Neirizi" w:hint="cs"/>
          <w:spacing w:val="14"/>
          <w:sz w:val="24"/>
          <w:szCs w:val="24"/>
          <w:rtl/>
          <w:lang w:bidi="fa-IR"/>
        </w:rPr>
      </w:pPr>
      <w:r>
        <w:rPr>
          <w:rFonts w:ascii="Neirizi" w:hAnsi="Neirizi" w:cs="Neirizi"/>
          <w:spacing w:val="14"/>
          <w:sz w:val="24"/>
          <w:szCs w:val="24"/>
          <w:rtl/>
          <w:lang w:bidi="fa-IR"/>
        </w:rPr>
        <w:t xml:space="preserve">1 </w:t>
      </w:r>
      <w:r>
        <w:rPr>
          <w:rFonts w:ascii="Neirizi" w:hAnsi="Neirizi" w:cs="Neirizi"/>
          <w:sz w:val="24"/>
          <w:szCs w:val="24"/>
          <w:rtl/>
          <w:lang w:bidi="fa-IR"/>
        </w:rPr>
        <w:t>ـــ</w:t>
      </w:r>
      <w:r>
        <w:rPr>
          <w:rFonts w:ascii="Neirizi" w:hAnsi="Neirizi" w:cs="Neirizi"/>
          <w:spacing w:val="14"/>
          <w:sz w:val="24"/>
          <w:szCs w:val="24"/>
          <w:rtl/>
          <w:lang w:bidi="fa-IR"/>
        </w:rPr>
        <w:t xml:space="preserve"> النکرة في سياق النهي أو النفي</w:t>
      </w:r>
    </w:p>
    <w:p w14:paraId="76D48244" w14:textId="77777777" w:rsidR="00CB67E9" w:rsidRDefault="00CB67E9" w:rsidP="00CB67E9">
      <w:pPr>
        <w:widowControl w:val="0"/>
        <w:bidi/>
        <w:spacing w:after="0"/>
        <w:ind w:firstLine="284"/>
        <w:jc w:val="both"/>
        <w:rPr>
          <w:rFonts w:ascii="Amiri" w:hAnsi="Amiri" w:cs="Abz-2 (Badr)"/>
          <w:sz w:val="28"/>
          <w:szCs w:val="28"/>
          <w:rtl/>
        </w:rPr>
      </w:pPr>
      <w:r>
        <w:rPr>
          <w:rFonts w:ascii="Amiri" w:hAnsi="Amiri" w:cs="Abz-2 (Badr)" w:hint="cs"/>
          <w:sz w:val="28"/>
          <w:szCs w:val="28"/>
          <w:rtl/>
        </w:rPr>
        <w:t>ذكر الآخوند أنّ من صيغ العموم، النكرة الواقعة في سياق النفي أو النهي، وعدّ دلالتها على العموم أمراً عقليّاً لا يمكن إنكاره.</w:t>
      </w:r>
    </w:p>
    <w:p w14:paraId="51965879" w14:textId="77777777" w:rsidR="00CB67E9" w:rsidRDefault="00CB67E9" w:rsidP="00CB67E9">
      <w:pPr>
        <w:widowControl w:val="0"/>
        <w:bidi/>
        <w:spacing w:after="0"/>
        <w:ind w:firstLine="284"/>
        <w:jc w:val="both"/>
        <w:rPr>
          <w:rFonts w:ascii="Amiri" w:hAnsi="Amiri" w:cs="Abz-2 (Badr)" w:hint="cs"/>
          <w:sz w:val="28"/>
          <w:szCs w:val="28"/>
          <w:rtl/>
          <w:lang w:bidi="fa-IR"/>
        </w:rPr>
      </w:pPr>
      <w:r>
        <w:rPr>
          <w:rFonts w:ascii="Amiri" w:hAnsi="Amiri" w:cs="Abz-2 (Badr)" w:hint="cs"/>
          <w:sz w:val="28"/>
          <w:szCs w:val="28"/>
          <w:rtl/>
        </w:rPr>
        <w:t>وبيان وجهه في ذلك: أنّه من البديهي أنّ الطبيعة لا تعدّ معدومة إلّا إذا لم يوجد منها أيّ فرد، إذ لو وجد فرد واحد منها لصدق أنّ الطبيعة موجودة.</w:t>
      </w:r>
    </w:p>
    <w:p w14:paraId="0FCCF7D8" w14:textId="77777777" w:rsidR="00CB67E9" w:rsidRDefault="00CB67E9" w:rsidP="00CB67E9">
      <w:pPr>
        <w:widowControl w:val="0"/>
        <w:bidi/>
        <w:spacing w:after="0"/>
        <w:ind w:firstLine="284"/>
        <w:jc w:val="both"/>
        <w:rPr>
          <w:rFonts w:ascii="Amiri" w:hAnsi="Amiri" w:cs="Abz-2 (Badr)"/>
          <w:sz w:val="28"/>
          <w:szCs w:val="28"/>
          <w:lang w:bidi="fa-IR"/>
        </w:rPr>
      </w:pPr>
      <w:r>
        <w:rPr>
          <w:rFonts w:ascii="Amiri" w:hAnsi="Amiri" w:cs="Abz-2 (Badr)" w:hint="cs"/>
          <w:sz w:val="28"/>
          <w:szCs w:val="28"/>
          <w:rtl/>
        </w:rPr>
        <w:t xml:space="preserve">غير أنّه قيّد دلالة النكرة في سياق النفي أو النهي على العموم بأن تكون النكرة مأخوذة على وجه الإطلاق لا مقيّدة بقيد خاصّ، لأنّه مع التقييد لا يفاد من النفي أو النهي إلّا سلب المقيّد دون سلب جميع الأفراد التي يمكن للطبيعة الانطباق </w:t>
      </w:r>
      <w:r>
        <w:rPr>
          <w:rFonts w:ascii="Amiri" w:hAnsi="Amiri" w:cs="Abz-2 (Badr)" w:hint="cs"/>
          <w:sz w:val="28"/>
          <w:szCs w:val="28"/>
          <w:rtl/>
        </w:rPr>
        <w:lastRenderedPageBreak/>
        <w:t>عليها.</w:t>
      </w:r>
    </w:p>
    <w:p w14:paraId="454CE3CC" w14:textId="77777777" w:rsidR="00CB67E9" w:rsidRDefault="00CB67E9" w:rsidP="00CB67E9">
      <w:pPr>
        <w:widowControl w:val="0"/>
        <w:bidi/>
        <w:spacing w:after="0"/>
        <w:ind w:firstLine="284"/>
        <w:jc w:val="both"/>
        <w:rPr>
          <w:rFonts w:ascii="Amiri" w:hAnsi="Amiri" w:cs="Abz-2 (Badr)"/>
          <w:sz w:val="28"/>
          <w:szCs w:val="28"/>
          <w:lang w:bidi="fa-IR"/>
        </w:rPr>
      </w:pPr>
      <w:r>
        <w:rPr>
          <w:rFonts w:ascii="Amiri" w:hAnsi="Amiri" w:cs="Abz-2 (Badr)" w:hint="cs"/>
          <w:sz w:val="28"/>
          <w:szCs w:val="28"/>
          <w:rtl/>
        </w:rPr>
        <w:t>وقد صرّح في حاشية الكفاية بأنّه إذا لم يثبت الإطلاق بمقدّمات الحكمة، كانت النكرة مأخوذة على نحو الإهمال، وحينئذٍ لا يفيد نفيها إلّا نفي الطبيعة في الجملة ضمن بعض أصنافها، لا استيعاب جميع الأفراد.</w:t>
      </w:r>
    </w:p>
    <w:p w14:paraId="31CBEA25" w14:textId="77777777" w:rsidR="00CB67E9" w:rsidRDefault="00CB67E9" w:rsidP="00CB67E9">
      <w:pPr>
        <w:widowControl w:val="0"/>
        <w:bidi/>
        <w:spacing w:after="0"/>
        <w:ind w:firstLine="284"/>
        <w:jc w:val="both"/>
        <w:rPr>
          <w:rFonts w:ascii="Amiri" w:hAnsi="Amiri" w:cs="Abz-2 (Badr)"/>
          <w:sz w:val="28"/>
          <w:szCs w:val="28"/>
          <w:lang w:bidi="fa-IR"/>
        </w:rPr>
      </w:pPr>
      <w:r>
        <w:rPr>
          <w:rFonts w:ascii="Amiri" w:hAnsi="Amiri" w:cs="Abz-2 (Badr)" w:hint="cs"/>
          <w:sz w:val="28"/>
          <w:szCs w:val="28"/>
          <w:rtl/>
        </w:rPr>
        <w:t>ثمّ أضاف أنّ اشتراط تماميّة مقدّمات الحكمة في دلالة النكرة في سياق النفي أو النهي على العموم لا ينافي كون هذه الدلالة عقليّة، لأنّ حكم العقل بالاستيعاب إنّما يجري في حدود الأفراد المرادة من النكرة، لا بالنسبة إلى جميع الأفراد التي تكون الطبيعة صالحة للانطباق عليها</w:t>
      </w:r>
      <w:r>
        <w:rPr>
          <w:rFonts w:ascii="Amiri" w:hAnsi="Amiri" w:cs="Abz-2 (Badr)" w:hint="cs"/>
          <w:sz w:val="28"/>
          <w:szCs w:val="28"/>
          <w:rtl/>
          <w:lang w:bidi="fa-IR"/>
        </w:rPr>
        <w:t>.</w:t>
      </w:r>
      <w:r>
        <w:rPr>
          <w:rStyle w:val="FootnoteReference"/>
          <w:rFonts w:cs="Abz-2 (Badr)"/>
          <w:spacing w:val="-2"/>
          <w:sz w:val="28"/>
          <w:szCs w:val="28"/>
          <w:rtl/>
        </w:rPr>
        <w:footnoteReference w:id="5"/>
      </w:r>
    </w:p>
    <w:p w14:paraId="76E24988" w14:textId="77777777" w:rsidR="00CB67E9" w:rsidRDefault="00CB67E9" w:rsidP="00CB67E9">
      <w:pPr>
        <w:widowControl w:val="0"/>
        <w:bidi/>
        <w:spacing w:after="0"/>
        <w:ind w:firstLine="284"/>
        <w:jc w:val="both"/>
        <w:rPr>
          <w:rFonts w:ascii="Amiri" w:hAnsi="Amiri" w:cs="Abz-2 (Badr)" w:hint="cs"/>
          <w:sz w:val="28"/>
          <w:szCs w:val="28"/>
          <w:rtl/>
          <w:lang w:bidi="fa-IR"/>
        </w:rPr>
      </w:pPr>
      <w:r>
        <w:rPr>
          <w:rFonts w:ascii="Amiri" w:hAnsi="Amiri" w:cs="Abz-2 (Badr)" w:hint="cs"/>
          <w:sz w:val="28"/>
          <w:szCs w:val="28"/>
          <w:rtl/>
        </w:rPr>
        <w:t>إلّا أنّ ما أفاده في وجه دلالة النكرة في سياق النهي على العموم فليس بتامّ</w:t>
      </w:r>
      <w:r>
        <w:rPr>
          <w:rFonts w:ascii="Amiri" w:hAnsi="Amiri" w:cs="Abz-2 (Badr)" w:hint="cs"/>
          <w:sz w:val="28"/>
          <w:szCs w:val="28"/>
          <w:rtl/>
          <w:lang w:bidi="fa-IR"/>
        </w:rPr>
        <w:t>.</w:t>
      </w:r>
    </w:p>
    <w:p w14:paraId="622BDA2B" w14:textId="77777777" w:rsidR="00CB67E9" w:rsidRDefault="00CB67E9" w:rsidP="00CB67E9">
      <w:pPr>
        <w:widowControl w:val="0"/>
        <w:bidi/>
        <w:spacing w:after="0"/>
        <w:ind w:firstLine="284"/>
        <w:jc w:val="both"/>
        <w:rPr>
          <w:rFonts w:ascii="Amiri" w:hAnsi="Amiri" w:cs="Abz-2 (Badr)" w:hint="cs"/>
          <w:sz w:val="28"/>
          <w:szCs w:val="28"/>
          <w:rtl/>
          <w:lang w:bidi="fa-IR"/>
        </w:rPr>
      </w:pPr>
      <w:r>
        <w:rPr>
          <w:rFonts w:ascii="Amiri" w:hAnsi="Amiri" w:cs="Abz-2 (Badr)" w:hint="cs"/>
          <w:sz w:val="28"/>
          <w:szCs w:val="28"/>
          <w:rtl/>
        </w:rPr>
        <w:t>توضيح ذلك: أنّ النهي ـ كما تقرّر في مباحث مقدّمات النواهي ـ يقتضي الزجر عن الفعل، وامتثاله يتحقّق بترك الطبيعة، وهو أمر عدمي. وهذا العدم كما يمكن أن يكون عدماً إضافيّاً، يمكن أن يكون عدماً مطلقاً أيضاً. وعليه، فإنّ امتثال النهي يمكن أن يتحقّق عقلاً بكلّ من العدمين: الإضافي والمطلق، غير أنّ الامتثال بالعدم الإضافي يحتاج إلى مؤونة زائدة، فلا يمكن الالتزام به بلا قرينة. ومن ثمّ إذا تعلّق النهي بصرف الطبيعة، كان مقتضى الإطلاق المقامي فيه هو لزوم امتثال النهي بالعدم المطلق.</w:t>
      </w:r>
    </w:p>
    <w:p w14:paraId="475D95E3" w14:textId="77777777" w:rsidR="00CB67E9" w:rsidRDefault="00CB67E9" w:rsidP="00CB67E9">
      <w:pPr>
        <w:widowControl w:val="0"/>
        <w:bidi/>
        <w:spacing w:after="0"/>
        <w:ind w:firstLine="284"/>
        <w:jc w:val="both"/>
        <w:rPr>
          <w:rFonts w:ascii="Amiri" w:hAnsi="Amiri" w:cs="Abz-2 (Badr)"/>
          <w:sz w:val="28"/>
          <w:szCs w:val="28"/>
          <w:lang w:bidi="fa-IR"/>
        </w:rPr>
      </w:pPr>
      <w:r>
        <w:rPr>
          <w:rFonts w:ascii="Amiri" w:hAnsi="Amiri" w:cs="Abz-2 (Badr)" w:hint="cs"/>
          <w:sz w:val="28"/>
          <w:szCs w:val="28"/>
          <w:rtl/>
        </w:rPr>
        <w:t>وبعبارة أُخرى: إنّ مقتضى إطلاق النهي المتعلّق بصرف الطبيعة هو وجوب ترك الطبيعة المنهيّ عنها في جميع أفرادها، إذ لا يتحقّق العدم المطلق للطبيعة إلّا بترك جميع أفرادها</w:t>
      </w:r>
      <w:r>
        <w:rPr>
          <w:rFonts w:ascii="Amiri" w:hAnsi="Amiri" w:cs="Abz-2 (Badr)" w:hint="cs"/>
          <w:sz w:val="28"/>
          <w:szCs w:val="28"/>
          <w:rtl/>
          <w:lang w:bidi="fa-IR"/>
        </w:rPr>
        <w:t>.</w:t>
      </w:r>
    </w:p>
    <w:p w14:paraId="6C4BFF60" w14:textId="77777777" w:rsidR="00CB67E9" w:rsidRDefault="00CB67E9" w:rsidP="00CB67E9">
      <w:pPr>
        <w:widowControl w:val="0"/>
        <w:bidi/>
        <w:spacing w:after="0"/>
        <w:ind w:firstLine="284"/>
        <w:jc w:val="both"/>
        <w:rPr>
          <w:rFonts w:ascii="Amiri" w:hAnsi="Amiri" w:cs="Abz-2 (Badr)" w:hint="cs"/>
          <w:sz w:val="28"/>
          <w:szCs w:val="28"/>
          <w:rtl/>
        </w:rPr>
      </w:pPr>
      <w:r>
        <w:rPr>
          <w:rFonts w:ascii="Amiri" w:hAnsi="Amiri" w:cs="Abz-2 (Badr)" w:hint="cs"/>
          <w:sz w:val="28"/>
          <w:szCs w:val="28"/>
          <w:rtl/>
        </w:rPr>
        <w:t>فتبيّن أنّ دلالة النهي على لزوم ترك جميع الأفراد إنّما هي ناشئة من الإطلاق المقامي، لا من حكم العقل كما ذهب إليه الآخوند.</w:t>
      </w:r>
    </w:p>
    <w:p w14:paraId="3A9104E1" w14:textId="77777777" w:rsidR="00CB67E9" w:rsidRDefault="00CB67E9" w:rsidP="00CB67E9">
      <w:pPr>
        <w:widowControl w:val="0"/>
        <w:bidi/>
        <w:spacing w:after="0"/>
        <w:ind w:firstLine="284"/>
        <w:jc w:val="both"/>
        <w:rPr>
          <w:rFonts w:ascii="Amiri" w:hAnsi="Amiri" w:cs="Abz-2 (Badr)" w:hint="cs"/>
          <w:sz w:val="28"/>
          <w:szCs w:val="28"/>
          <w:rtl/>
        </w:rPr>
      </w:pPr>
      <w:r>
        <w:rPr>
          <w:rFonts w:ascii="Amiri" w:hAnsi="Amiri" w:cs="Abz-2 (Badr)" w:hint="cs"/>
          <w:sz w:val="28"/>
          <w:szCs w:val="28"/>
          <w:rtl/>
        </w:rPr>
        <w:t>ولا فرق فيما تقدّم بين أن يكون ما وقع في سياق النهي نكرة أو معرفة، فكما أنّ النكرة تفيد العموم على ما بيّن، كذلك إذا قيل: «لا تكرم الفاسق» يمكن الادّعاء بأنّ هذا النهي أيضاً يفيد العموم، وإن لم نقل بدلالة لام الجنس على العموم، لأنّ المستفاد من إطلاق النهي هو الزجر عن إكرام مطلق أفراد الفاسق.</w:t>
      </w:r>
    </w:p>
    <w:p w14:paraId="68750114" w14:textId="77777777" w:rsidR="00CB67E9" w:rsidRDefault="00CB67E9" w:rsidP="00CB67E9">
      <w:pPr>
        <w:widowControl w:val="0"/>
        <w:bidi/>
        <w:spacing w:after="0"/>
        <w:ind w:firstLine="284"/>
        <w:jc w:val="both"/>
        <w:rPr>
          <w:rFonts w:ascii="Amiri" w:hAnsi="Amiri" w:cs="Abz-2 (Badr)"/>
          <w:sz w:val="28"/>
          <w:szCs w:val="28"/>
        </w:rPr>
      </w:pPr>
      <w:r>
        <w:rPr>
          <w:rFonts w:ascii="Amiri" w:hAnsi="Amiri" w:cs="Abz-2 (Badr)" w:hint="cs"/>
          <w:sz w:val="28"/>
          <w:szCs w:val="28"/>
          <w:rtl/>
        </w:rPr>
        <w:t xml:space="preserve">وأمّا ما ذكره الآخوند في شأن إطلاق موضوع النهي، فسيأتي البحث عنه في مبحث دلالة مدخول «كلّ» على العموم </w:t>
      </w:r>
      <w:r>
        <w:rPr>
          <w:rFonts w:ascii="Amiri" w:hAnsi="Amiri" w:cs="Abz-2 (Badr)" w:hint="cs"/>
          <w:sz w:val="28"/>
          <w:szCs w:val="28"/>
          <w:rtl/>
        </w:rPr>
        <w:lastRenderedPageBreak/>
        <w:t>إن شاء الله تعالى.</w:t>
      </w:r>
    </w:p>
    <w:p w14:paraId="6BB75832" w14:textId="77777777" w:rsidR="00CB67E9" w:rsidRDefault="00CB67E9" w:rsidP="00CB67E9">
      <w:pPr>
        <w:widowControl w:val="0"/>
        <w:bidi/>
        <w:spacing w:after="0"/>
        <w:ind w:firstLine="284"/>
        <w:jc w:val="both"/>
        <w:rPr>
          <w:rFonts w:ascii="Amiri" w:hAnsi="Amiri" w:cs="Abz-2 (Badr)"/>
          <w:sz w:val="28"/>
          <w:szCs w:val="28"/>
        </w:rPr>
      </w:pPr>
      <w:r>
        <w:rPr>
          <w:rFonts w:ascii="Amiri" w:hAnsi="Amiri" w:cs="Abz-2 (Badr)" w:hint="cs"/>
          <w:sz w:val="28"/>
          <w:szCs w:val="28"/>
          <w:rtl/>
        </w:rPr>
        <w:t>وعليه فلتوجيه إفادة النكرة الواقعة في سياق النهي للعموم لابدّ من وجه آخر غير ما ذكر، وسنبيّن هذا الوجه في الجلسة القادمة إن شاء الله تعالى.</w:t>
      </w:r>
    </w:p>
    <w:p w14:paraId="73BF60A2" w14:textId="77777777" w:rsidR="00CB67E9" w:rsidRDefault="00CB67E9" w:rsidP="00CB67E9">
      <w:pPr>
        <w:widowControl w:val="0"/>
        <w:bidi/>
        <w:spacing w:after="0"/>
        <w:ind w:firstLine="284"/>
        <w:jc w:val="both"/>
        <w:rPr>
          <w:rFonts w:ascii="Amiri" w:hAnsi="Amiri" w:cs="Abz-2 (Badr)"/>
          <w:sz w:val="28"/>
          <w:szCs w:val="28"/>
        </w:rPr>
      </w:pPr>
    </w:p>
    <w:p w14:paraId="0FEB2B67" w14:textId="77777777" w:rsidR="00CB67E9" w:rsidRDefault="00CB67E9" w:rsidP="00CB67E9">
      <w:pPr>
        <w:widowControl w:val="0"/>
        <w:bidi/>
        <w:spacing w:after="0"/>
        <w:ind w:firstLine="284"/>
        <w:jc w:val="both"/>
        <w:rPr>
          <w:rFonts w:ascii="Amiri" w:hAnsi="Amiri" w:cs="Abz-2 (Badr)" w:hint="cs"/>
          <w:sz w:val="26"/>
          <w:szCs w:val="26"/>
          <w:rtl/>
          <w:lang w:bidi="fa-IR"/>
        </w:rPr>
      </w:pPr>
    </w:p>
    <w:p w14:paraId="4BECCE55" w14:textId="77777777" w:rsidR="00CB67E9" w:rsidRDefault="00CB67E9" w:rsidP="00CB67E9">
      <w:pPr>
        <w:widowControl w:val="0"/>
        <w:bidi/>
        <w:spacing w:after="0"/>
        <w:ind w:firstLine="284"/>
        <w:jc w:val="both"/>
        <w:rPr>
          <w:rFonts w:ascii="Amiri" w:hAnsi="Amiri" w:cs="Abz-2 (Badr)"/>
          <w:sz w:val="26"/>
          <w:szCs w:val="26"/>
          <w:lang w:bidi="fa-IR"/>
        </w:rPr>
      </w:pPr>
    </w:p>
    <w:p w14:paraId="7D9979DE" w14:textId="26D41A3F" w:rsidR="001B24FC" w:rsidRPr="00CB67E9" w:rsidRDefault="001B24FC" w:rsidP="00CB67E9">
      <w:pPr>
        <w:rPr>
          <w:rtl/>
        </w:rPr>
      </w:pPr>
    </w:p>
    <w:sectPr w:rsidR="001B24FC" w:rsidRPr="00CB67E9" w:rsidSect="008666ED">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387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40A38" w14:textId="77777777" w:rsidR="003F42C9" w:rsidRDefault="003F42C9" w:rsidP="00C336C5">
      <w:pPr>
        <w:spacing w:after="0" w:line="240" w:lineRule="auto"/>
      </w:pPr>
      <w:r>
        <w:separator/>
      </w:r>
    </w:p>
  </w:endnote>
  <w:endnote w:type="continuationSeparator" w:id="0">
    <w:p w14:paraId="39CEC270" w14:textId="77777777" w:rsidR="003F42C9" w:rsidRDefault="003F42C9" w:rsidP="00C336C5">
      <w:pPr>
        <w:spacing w:after="0" w:line="240" w:lineRule="auto"/>
      </w:pPr>
      <w:r>
        <w:continuationSeparator/>
      </w:r>
    </w:p>
  </w:endnote>
  <w:endnote w:type="continuationNotice" w:id="1">
    <w:p w14:paraId="1FDD8B99" w14:textId="77777777" w:rsidR="003F42C9" w:rsidRDefault="003F42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Neirizi">
    <w:panose1 w:val="02000503000000020003"/>
    <w:charset w:val="00"/>
    <w:family w:val="auto"/>
    <w:pitch w:val="variable"/>
    <w:sig w:usb0="61002A87" w:usb1="80000000" w:usb2="00000008" w:usb3="00000000" w:csb0="000101FF" w:csb1="00000000"/>
  </w:font>
  <w:font w:name="Amiri">
    <w:panose1 w:val="00000500000000000000"/>
    <w:charset w:val="00"/>
    <w:family w:val="auto"/>
    <w:pitch w:val="variable"/>
    <w:sig w:usb0="A000206F" w:usb1="82002043" w:usb2="00000008" w:usb3="00000000" w:csb0="000000D3"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073DB" w14:textId="77777777" w:rsidR="00A43AD0" w:rsidRDefault="00A43A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200BD" w14:textId="77777777" w:rsidR="00A43AD0" w:rsidRDefault="00A43A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9E5B8" w14:textId="77777777" w:rsidR="003F42C9" w:rsidRDefault="003F42C9" w:rsidP="00C336C5">
      <w:pPr>
        <w:bidi/>
        <w:spacing w:after="0" w:line="240" w:lineRule="auto"/>
      </w:pPr>
      <w:r>
        <w:separator/>
      </w:r>
    </w:p>
  </w:footnote>
  <w:footnote w:type="continuationSeparator" w:id="0">
    <w:p w14:paraId="370D6000" w14:textId="77777777" w:rsidR="003F42C9" w:rsidRDefault="003F42C9" w:rsidP="00C336C5">
      <w:pPr>
        <w:spacing w:after="0" w:line="240" w:lineRule="auto"/>
      </w:pPr>
      <w:r>
        <w:continuationSeparator/>
      </w:r>
    </w:p>
  </w:footnote>
  <w:footnote w:type="continuationNotice" w:id="1">
    <w:p w14:paraId="0E1299F0" w14:textId="77777777" w:rsidR="003F42C9" w:rsidRDefault="003F42C9">
      <w:pPr>
        <w:spacing w:after="0" w:line="240" w:lineRule="auto"/>
      </w:pPr>
    </w:p>
  </w:footnote>
  <w:footnote w:id="2">
    <w:p w14:paraId="56B46A65" w14:textId="77777777" w:rsidR="00CB67E9" w:rsidRDefault="00CB67E9" w:rsidP="00CB67E9">
      <w:pPr>
        <w:pStyle w:val="FootnoteText"/>
        <w:bidi/>
        <w:jc w:val="left"/>
        <w:rPr>
          <w:rFonts w:cs="Abz-2 (Badr)" w:hint="cs"/>
          <w:rtl/>
          <w:lang w:bidi="fa-IR"/>
        </w:rPr>
      </w:pPr>
      <w:r>
        <w:rPr>
          <w:rFonts w:cs="Abz-2 (Badr)"/>
          <w:lang w:bidi="fa-IR"/>
        </w:rPr>
        <w:footnoteRef/>
      </w:r>
      <w:r>
        <w:rPr>
          <w:rFonts w:cs="Abz-2 (Badr)" w:hint="cs"/>
          <w:rtl/>
          <w:lang w:bidi="fa-IR"/>
        </w:rPr>
        <w:t xml:space="preserve"> ـ راجع: محاضرات في أُصول الفقه،ج4،ص304.</w:t>
      </w:r>
    </w:p>
  </w:footnote>
  <w:footnote w:id="3">
    <w:p w14:paraId="62628486" w14:textId="77777777" w:rsidR="00CB67E9" w:rsidRDefault="00CB67E9" w:rsidP="00CB67E9">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کفاية الأُصول،ص217.</w:t>
      </w:r>
    </w:p>
  </w:footnote>
  <w:footnote w:id="4">
    <w:p w14:paraId="7882EEBB" w14:textId="77777777" w:rsidR="00CB67E9" w:rsidRDefault="00CB67E9" w:rsidP="00CB67E9">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محاضرات في أُصول الفقه،ج4،ص304.</w:t>
      </w:r>
    </w:p>
  </w:footnote>
  <w:footnote w:id="5">
    <w:p w14:paraId="520D64E8" w14:textId="77777777" w:rsidR="00CB67E9" w:rsidRDefault="00CB67E9" w:rsidP="00CB67E9">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کفاية الأُصول،ص217.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A1E8D" w14:textId="77777777" w:rsidR="00A43AD0" w:rsidRDefault="00A43A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C06B6" w14:textId="23AAAAE8" w:rsidR="008666ED" w:rsidRDefault="008666ED">
    <w:pPr>
      <w:pStyle w:val="Header"/>
    </w:pPr>
    <w:r>
      <w:rPr>
        <w:noProof/>
      </w:rPr>
      <mc:AlternateContent>
        <mc:Choice Requires="wps">
          <w:drawing>
            <wp:anchor distT="45720" distB="45720" distL="114300" distR="114300" simplePos="0" relativeHeight="251661312" behindDoc="0" locked="0" layoutInCell="1" allowOverlap="1" wp14:anchorId="656B4452" wp14:editId="011E38FF">
              <wp:simplePos x="0" y="0"/>
              <wp:positionH relativeFrom="column">
                <wp:posOffset>2080895</wp:posOffset>
              </wp:positionH>
              <wp:positionV relativeFrom="paragraph">
                <wp:posOffset>266700</wp:posOffset>
              </wp:positionV>
              <wp:extent cx="4284345" cy="1476375"/>
              <wp:effectExtent l="0" t="0" r="190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1476375"/>
                      </a:xfrm>
                      <a:prstGeom prst="rect">
                        <a:avLst/>
                      </a:prstGeom>
                      <a:solidFill>
                        <a:srgbClr val="FFFFFF"/>
                      </a:solidFill>
                      <a:ln w="9525">
                        <a:noFill/>
                        <a:miter lim="800000"/>
                        <a:headEnd/>
                        <a:tailEnd/>
                      </a:ln>
                    </wps:spPr>
                    <wps:txb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391B1094"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CB67E9">
                            <w:rPr>
                              <w:rFonts w:cs="B Mehr"/>
                              <w:lang w:bidi="fa-IR"/>
                            </w:rPr>
                            <w:t xml:space="preserve"> </w:t>
                          </w:r>
                          <w:r w:rsidR="003F4E57">
                            <w:rPr>
                              <w:rFonts w:cs="B Mehr" w:hint="cs"/>
                              <w:rtl/>
                              <w:lang w:bidi="fa-IR"/>
                            </w:rPr>
                            <w:t xml:space="preserve">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CB67E9">
                            <w:rPr>
                              <w:rFonts w:cs="B Mehr" w:hint="cs"/>
                              <w:rtl/>
                              <w:lang w:bidi="fa-IR"/>
                            </w:rPr>
                            <w:t>26</w:t>
                          </w:r>
                          <w:r w:rsidR="0094174A">
                            <w:rPr>
                              <w:rFonts w:cs="B Mehr" w:hint="cs"/>
                              <w:rtl/>
                              <w:lang w:bidi="fa-IR"/>
                            </w:rPr>
                            <w:t xml:space="preserve">   </w:t>
                          </w:r>
                          <w:r w:rsidR="00B2630B">
                            <w:rPr>
                              <w:rFonts w:cs="B Mehr" w:hint="cs"/>
                              <w:rtl/>
                              <w:lang w:bidi="fa-IR"/>
                            </w:rPr>
                            <w:t>مهر</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B4452" id="_x0000_t202" coordsize="21600,21600" o:spt="202" path="m,l,21600r21600,l21600,xe">
              <v:stroke joinstyle="miter"/>
              <v:path gradientshapeok="t" o:connecttype="rect"/>
            </v:shapetype>
            <v:shape id="Text Box 2" o:spid="_x0000_s1026" type="#_x0000_t202" style="position:absolute;margin-left:163.85pt;margin-top:21pt;width:337.35pt;height:11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" stroked="f">
              <v:textbo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391B1094"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CB67E9">
                      <w:rPr>
                        <w:rFonts w:cs="B Mehr"/>
                        <w:lang w:bidi="fa-IR"/>
                      </w:rPr>
                      <w:t xml:space="preserve"> </w:t>
                    </w:r>
                    <w:r w:rsidR="003F4E57">
                      <w:rPr>
                        <w:rFonts w:cs="B Mehr" w:hint="cs"/>
                        <w:rtl/>
                        <w:lang w:bidi="fa-IR"/>
                      </w:rPr>
                      <w:t xml:space="preserve">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CB67E9">
                      <w:rPr>
                        <w:rFonts w:cs="B Mehr" w:hint="cs"/>
                        <w:rtl/>
                        <w:lang w:bidi="fa-IR"/>
                      </w:rPr>
                      <w:t>26</w:t>
                    </w:r>
                    <w:r w:rsidR="0094174A">
                      <w:rPr>
                        <w:rFonts w:cs="B Mehr" w:hint="cs"/>
                        <w:rtl/>
                        <w:lang w:bidi="fa-IR"/>
                      </w:rPr>
                      <w:t xml:space="preserve">   </w:t>
                    </w:r>
                    <w:r w:rsidR="00B2630B">
                      <w:rPr>
                        <w:rFonts w:cs="B Mehr" w:hint="cs"/>
                        <w:rtl/>
                        <w:lang w:bidi="fa-IR"/>
                      </w:rPr>
                      <w:t>مهر</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3BA0C3F3" wp14:editId="218A05B0">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E9D8E" w14:textId="77777777" w:rsidR="00A43AD0" w:rsidRDefault="00A43AD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54F3"/>
    <w:rsid w:val="00015B20"/>
    <w:rsid w:val="00016488"/>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0F06"/>
    <w:rsid w:val="000331CD"/>
    <w:rsid w:val="00034331"/>
    <w:rsid w:val="00034B51"/>
    <w:rsid w:val="00034E65"/>
    <w:rsid w:val="00036217"/>
    <w:rsid w:val="00036B77"/>
    <w:rsid w:val="000402D8"/>
    <w:rsid w:val="0004094D"/>
    <w:rsid w:val="00041614"/>
    <w:rsid w:val="00041953"/>
    <w:rsid w:val="0004284B"/>
    <w:rsid w:val="000429F8"/>
    <w:rsid w:val="0004332D"/>
    <w:rsid w:val="00044AF5"/>
    <w:rsid w:val="00045819"/>
    <w:rsid w:val="00045897"/>
    <w:rsid w:val="000458F9"/>
    <w:rsid w:val="00045E06"/>
    <w:rsid w:val="0004627F"/>
    <w:rsid w:val="00046829"/>
    <w:rsid w:val="000509AB"/>
    <w:rsid w:val="00050FFD"/>
    <w:rsid w:val="00051007"/>
    <w:rsid w:val="00051D65"/>
    <w:rsid w:val="00051DA2"/>
    <w:rsid w:val="00054B8B"/>
    <w:rsid w:val="000555E5"/>
    <w:rsid w:val="000559DF"/>
    <w:rsid w:val="00056817"/>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32C7"/>
    <w:rsid w:val="000A4458"/>
    <w:rsid w:val="000A48CB"/>
    <w:rsid w:val="000A4B14"/>
    <w:rsid w:val="000A6670"/>
    <w:rsid w:val="000A7CD7"/>
    <w:rsid w:val="000B089D"/>
    <w:rsid w:val="000B0FE5"/>
    <w:rsid w:val="000B21AF"/>
    <w:rsid w:val="000B3B20"/>
    <w:rsid w:val="000B45F3"/>
    <w:rsid w:val="000B4680"/>
    <w:rsid w:val="000B6C43"/>
    <w:rsid w:val="000B7220"/>
    <w:rsid w:val="000B766D"/>
    <w:rsid w:val="000B76C7"/>
    <w:rsid w:val="000B7AE1"/>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26D6"/>
    <w:rsid w:val="000E3498"/>
    <w:rsid w:val="000E3B8A"/>
    <w:rsid w:val="000E459D"/>
    <w:rsid w:val="000E4CDC"/>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2D3"/>
    <w:rsid w:val="0010639C"/>
    <w:rsid w:val="00106F00"/>
    <w:rsid w:val="001079E6"/>
    <w:rsid w:val="00111B9D"/>
    <w:rsid w:val="001121BE"/>
    <w:rsid w:val="00112338"/>
    <w:rsid w:val="00112E25"/>
    <w:rsid w:val="00113458"/>
    <w:rsid w:val="00113932"/>
    <w:rsid w:val="00113BC3"/>
    <w:rsid w:val="0011633F"/>
    <w:rsid w:val="00116DCD"/>
    <w:rsid w:val="00116FA9"/>
    <w:rsid w:val="00120694"/>
    <w:rsid w:val="0012137D"/>
    <w:rsid w:val="001227F2"/>
    <w:rsid w:val="00122C40"/>
    <w:rsid w:val="00123FAA"/>
    <w:rsid w:val="00125A9D"/>
    <w:rsid w:val="00125C91"/>
    <w:rsid w:val="00126016"/>
    <w:rsid w:val="001262DF"/>
    <w:rsid w:val="00126732"/>
    <w:rsid w:val="0013020B"/>
    <w:rsid w:val="0013025B"/>
    <w:rsid w:val="0013086C"/>
    <w:rsid w:val="00132299"/>
    <w:rsid w:val="0013331D"/>
    <w:rsid w:val="00133674"/>
    <w:rsid w:val="00133946"/>
    <w:rsid w:val="00134104"/>
    <w:rsid w:val="00134425"/>
    <w:rsid w:val="00135F56"/>
    <w:rsid w:val="00135F7A"/>
    <w:rsid w:val="0013711F"/>
    <w:rsid w:val="0013776A"/>
    <w:rsid w:val="0014010E"/>
    <w:rsid w:val="001403B0"/>
    <w:rsid w:val="001407AA"/>
    <w:rsid w:val="0014208E"/>
    <w:rsid w:val="00142479"/>
    <w:rsid w:val="00143F36"/>
    <w:rsid w:val="0014420E"/>
    <w:rsid w:val="00147AB8"/>
    <w:rsid w:val="001500BF"/>
    <w:rsid w:val="00150102"/>
    <w:rsid w:val="001512F1"/>
    <w:rsid w:val="00154253"/>
    <w:rsid w:val="0015455F"/>
    <w:rsid w:val="001550C4"/>
    <w:rsid w:val="001553E6"/>
    <w:rsid w:val="001554B6"/>
    <w:rsid w:val="0015569E"/>
    <w:rsid w:val="001556F1"/>
    <w:rsid w:val="00157BB0"/>
    <w:rsid w:val="0016176E"/>
    <w:rsid w:val="0016185C"/>
    <w:rsid w:val="0016195C"/>
    <w:rsid w:val="00161E7A"/>
    <w:rsid w:val="00161FF7"/>
    <w:rsid w:val="00163582"/>
    <w:rsid w:val="00164F38"/>
    <w:rsid w:val="0016580C"/>
    <w:rsid w:val="00166D53"/>
    <w:rsid w:val="00170B2C"/>
    <w:rsid w:val="001712CF"/>
    <w:rsid w:val="00171C29"/>
    <w:rsid w:val="001724FF"/>
    <w:rsid w:val="0017407D"/>
    <w:rsid w:val="00177AF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1984"/>
    <w:rsid w:val="001A2538"/>
    <w:rsid w:val="001A2FAC"/>
    <w:rsid w:val="001A431B"/>
    <w:rsid w:val="001A44AE"/>
    <w:rsid w:val="001A51F2"/>
    <w:rsid w:val="001A5BAA"/>
    <w:rsid w:val="001A5D0A"/>
    <w:rsid w:val="001A74DA"/>
    <w:rsid w:val="001B105A"/>
    <w:rsid w:val="001B24FC"/>
    <w:rsid w:val="001B286E"/>
    <w:rsid w:val="001B2F63"/>
    <w:rsid w:val="001B34BE"/>
    <w:rsid w:val="001B36BA"/>
    <w:rsid w:val="001B38B4"/>
    <w:rsid w:val="001B3C8A"/>
    <w:rsid w:val="001B4B44"/>
    <w:rsid w:val="001B5931"/>
    <w:rsid w:val="001C08B9"/>
    <w:rsid w:val="001C0C54"/>
    <w:rsid w:val="001C271B"/>
    <w:rsid w:val="001C4B75"/>
    <w:rsid w:val="001C5C75"/>
    <w:rsid w:val="001C6753"/>
    <w:rsid w:val="001C7741"/>
    <w:rsid w:val="001C7E18"/>
    <w:rsid w:val="001C7E66"/>
    <w:rsid w:val="001D02D6"/>
    <w:rsid w:val="001D037F"/>
    <w:rsid w:val="001D1E8F"/>
    <w:rsid w:val="001D3812"/>
    <w:rsid w:val="001D3D04"/>
    <w:rsid w:val="001D441D"/>
    <w:rsid w:val="001D46D2"/>
    <w:rsid w:val="001D48B3"/>
    <w:rsid w:val="001D4966"/>
    <w:rsid w:val="001D4E2E"/>
    <w:rsid w:val="001D52DD"/>
    <w:rsid w:val="001D59D0"/>
    <w:rsid w:val="001D643D"/>
    <w:rsid w:val="001D6F2F"/>
    <w:rsid w:val="001D7AEE"/>
    <w:rsid w:val="001E13E9"/>
    <w:rsid w:val="001E17B1"/>
    <w:rsid w:val="001E2A07"/>
    <w:rsid w:val="001E471E"/>
    <w:rsid w:val="001E5645"/>
    <w:rsid w:val="001E6B79"/>
    <w:rsid w:val="001E6C64"/>
    <w:rsid w:val="001E70EC"/>
    <w:rsid w:val="001E72F2"/>
    <w:rsid w:val="001E7404"/>
    <w:rsid w:val="001F112F"/>
    <w:rsid w:val="001F12F0"/>
    <w:rsid w:val="001F1B86"/>
    <w:rsid w:val="001F1D8C"/>
    <w:rsid w:val="001F292B"/>
    <w:rsid w:val="001F3580"/>
    <w:rsid w:val="001F3879"/>
    <w:rsid w:val="001F40F2"/>
    <w:rsid w:val="001F43C1"/>
    <w:rsid w:val="001F4576"/>
    <w:rsid w:val="001F462D"/>
    <w:rsid w:val="001F5B97"/>
    <w:rsid w:val="001F6B82"/>
    <w:rsid w:val="001F6F30"/>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D02"/>
    <w:rsid w:val="002144BB"/>
    <w:rsid w:val="00214C24"/>
    <w:rsid w:val="002158FB"/>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36B6"/>
    <w:rsid w:val="00234A42"/>
    <w:rsid w:val="00236B1F"/>
    <w:rsid w:val="002375F8"/>
    <w:rsid w:val="00241A87"/>
    <w:rsid w:val="002422BE"/>
    <w:rsid w:val="00242D33"/>
    <w:rsid w:val="00245CD7"/>
    <w:rsid w:val="002505E2"/>
    <w:rsid w:val="0025120A"/>
    <w:rsid w:val="00251D75"/>
    <w:rsid w:val="0025360C"/>
    <w:rsid w:val="00253F4B"/>
    <w:rsid w:val="002547DD"/>
    <w:rsid w:val="002548CF"/>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7043D"/>
    <w:rsid w:val="00271022"/>
    <w:rsid w:val="0027112F"/>
    <w:rsid w:val="00272EC0"/>
    <w:rsid w:val="002758ED"/>
    <w:rsid w:val="002763EE"/>
    <w:rsid w:val="00277B71"/>
    <w:rsid w:val="0028266C"/>
    <w:rsid w:val="00282F65"/>
    <w:rsid w:val="0028333D"/>
    <w:rsid w:val="00283354"/>
    <w:rsid w:val="00285D69"/>
    <w:rsid w:val="00287AC9"/>
    <w:rsid w:val="00291172"/>
    <w:rsid w:val="00293064"/>
    <w:rsid w:val="00293F26"/>
    <w:rsid w:val="00294B7B"/>
    <w:rsid w:val="00295DE5"/>
    <w:rsid w:val="002964DD"/>
    <w:rsid w:val="00297A69"/>
    <w:rsid w:val="002A0C88"/>
    <w:rsid w:val="002A0E7B"/>
    <w:rsid w:val="002A161D"/>
    <w:rsid w:val="002A19C3"/>
    <w:rsid w:val="002A330F"/>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B70A4"/>
    <w:rsid w:val="002C069A"/>
    <w:rsid w:val="002C30A4"/>
    <w:rsid w:val="002C4A0A"/>
    <w:rsid w:val="002C55DC"/>
    <w:rsid w:val="002C66AA"/>
    <w:rsid w:val="002C6D4F"/>
    <w:rsid w:val="002C6FF9"/>
    <w:rsid w:val="002C76EF"/>
    <w:rsid w:val="002D1688"/>
    <w:rsid w:val="002D1A86"/>
    <w:rsid w:val="002D3163"/>
    <w:rsid w:val="002D4493"/>
    <w:rsid w:val="002D66CD"/>
    <w:rsid w:val="002D688D"/>
    <w:rsid w:val="002E0167"/>
    <w:rsid w:val="002E0803"/>
    <w:rsid w:val="002E11CF"/>
    <w:rsid w:val="002E228B"/>
    <w:rsid w:val="002E514A"/>
    <w:rsid w:val="002E5DFD"/>
    <w:rsid w:val="002E6148"/>
    <w:rsid w:val="002E6DCF"/>
    <w:rsid w:val="002E7556"/>
    <w:rsid w:val="002F16B4"/>
    <w:rsid w:val="002F208D"/>
    <w:rsid w:val="002F2BA5"/>
    <w:rsid w:val="002F6968"/>
    <w:rsid w:val="002F6A19"/>
    <w:rsid w:val="002F7E25"/>
    <w:rsid w:val="00301919"/>
    <w:rsid w:val="00301FFA"/>
    <w:rsid w:val="00302CDB"/>
    <w:rsid w:val="00305A6B"/>
    <w:rsid w:val="00305D51"/>
    <w:rsid w:val="00306835"/>
    <w:rsid w:val="00307194"/>
    <w:rsid w:val="00314007"/>
    <w:rsid w:val="003206D3"/>
    <w:rsid w:val="00321535"/>
    <w:rsid w:val="00323013"/>
    <w:rsid w:val="003232B0"/>
    <w:rsid w:val="00323688"/>
    <w:rsid w:val="0032374F"/>
    <w:rsid w:val="00323960"/>
    <w:rsid w:val="00323C4F"/>
    <w:rsid w:val="00323F4E"/>
    <w:rsid w:val="00324E05"/>
    <w:rsid w:val="0032621B"/>
    <w:rsid w:val="00333BD0"/>
    <w:rsid w:val="00333FFD"/>
    <w:rsid w:val="00334A62"/>
    <w:rsid w:val="003350D4"/>
    <w:rsid w:val="00335481"/>
    <w:rsid w:val="00335B9F"/>
    <w:rsid w:val="00335D52"/>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D5"/>
    <w:rsid w:val="003B12F2"/>
    <w:rsid w:val="003B238B"/>
    <w:rsid w:val="003B3287"/>
    <w:rsid w:val="003B4141"/>
    <w:rsid w:val="003B41DD"/>
    <w:rsid w:val="003B4617"/>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E70C5"/>
    <w:rsid w:val="003F022A"/>
    <w:rsid w:val="003F103B"/>
    <w:rsid w:val="003F235C"/>
    <w:rsid w:val="003F23EE"/>
    <w:rsid w:val="003F2464"/>
    <w:rsid w:val="003F42C9"/>
    <w:rsid w:val="003F440F"/>
    <w:rsid w:val="003F4E57"/>
    <w:rsid w:val="003F4ED6"/>
    <w:rsid w:val="003F5056"/>
    <w:rsid w:val="003F5550"/>
    <w:rsid w:val="003F693A"/>
    <w:rsid w:val="003F75BC"/>
    <w:rsid w:val="00400660"/>
    <w:rsid w:val="004029A2"/>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5FD2"/>
    <w:rsid w:val="004362FB"/>
    <w:rsid w:val="00441952"/>
    <w:rsid w:val="00441EED"/>
    <w:rsid w:val="00442199"/>
    <w:rsid w:val="0044303D"/>
    <w:rsid w:val="004435C8"/>
    <w:rsid w:val="0044394E"/>
    <w:rsid w:val="0044440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578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4E47"/>
    <w:rsid w:val="004A4E5C"/>
    <w:rsid w:val="004A6282"/>
    <w:rsid w:val="004B00A1"/>
    <w:rsid w:val="004B0CD0"/>
    <w:rsid w:val="004B1D5B"/>
    <w:rsid w:val="004B20CA"/>
    <w:rsid w:val="004B2E67"/>
    <w:rsid w:val="004B3C1F"/>
    <w:rsid w:val="004B3E69"/>
    <w:rsid w:val="004B5396"/>
    <w:rsid w:val="004B5FA4"/>
    <w:rsid w:val="004B626D"/>
    <w:rsid w:val="004C15B1"/>
    <w:rsid w:val="004C358E"/>
    <w:rsid w:val="004C3ED6"/>
    <w:rsid w:val="004C5E0C"/>
    <w:rsid w:val="004C69B2"/>
    <w:rsid w:val="004C75E6"/>
    <w:rsid w:val="004D07D0"/>
    <w:rsid w:val="004D0AFB"/>
    <w:rsid w:val="004D1F23"/>
    <w:rsid w:val="004D2107"/>
    <w:rsid w:val="004D4221"/>
    <w:rsid w:val="004D5471"/>
    <w:rsid w:val="004D708B"/>
    <w:rsid w:val="004D72B0"/>
    <w:rsid w:val="004D7CED"/>
    <w:rsid w:val="004D7DC2"/>
    <w:rsid w:val="004E02CB"/>
    <w:rsid w:val="004E105A"/>
    <w:rsid w:val="004E1D63"/>
    <w:rsid w:val="004E1EA0"/>
    <w:rsid w:val="004E2639"/>
    <w:rsid w:val="004E44E4"/>
    <w:rsid w:val="004E45F8"/>
    <w:rsid w:val="004E54E2"/>
    <w:rsid w:val="004E5A1C"/>
    <w:rsid w:val="004E63E6"/>
    <w:rsid w:val="004E686F"/>
    <w:rsid w:val="004E6B0F"/>
    <w:rsid w:val="004E78A0"/>
    <w:rsid w:val="004E7D89"/>
    <w:rsid w:val="004F485A"/>
    <w:rsid w:val="004F4D6A"/>
    <w:rsid w:val="004F5169"/>
    <w:rsid w:val="004F5240"/>
    <w:rsid w:val="004F573B"/>
    <w:rsid w:val="004F6223"/>
    <w:rsid w:val="004F6E25"/>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1C7"/>
    <w:rsid w:val="0054151B"/>
    <w:rsid w:val="00542296"/>
    <w:rsid w:val="005436AD"/>
    <w:rsid w:val="00546131"/>
    <w:rsid w:val="005516A1"/>
    <w:rsid w:val="005532D8"/>
    <w:rsid w:val="00554102"/>
    <w:rsid w:val="00554633"/>
    <w:rsid w:val="0055473F"/>
    <w:rsid w:val="00554D5D"/>
    <w:rsid w:val="005559FF"/>
    <w:rsid w:val="005562F7"/>
    <w:rsid w:val="005565F7"/>
    <w:rsid w:val="00557447"/>
    <w:rsid w:val="00561A9E"/>
    <w:rsid w:val="00562309"/>
    <w:rsid w:val="005624E2"/>
    <w:rsid w:val="00563C96"/>
    <w:rsid w:val="0056417C"/>
    <w:rsid w:val="0056582C"/>
    <w:rsid w:val="00565C43"/>
    <w:rsid w:val="00567E87"/>
    <w:rsid w:val="005708D5"/>
    <w:rsid w:val="00572BBD"/>
    <w:rsid w:val="00573336"/>
    <w:rsid w:val="00574B3D"/>
    <w:rsid w:val="00575923"/>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4D8"/>
    <w:rsid w:val="00591880"/>
    <w:rsid w:val="005925C4"/>
    <w:rsid w:val="00592D14"/>
    <w:rsid w:val="005944B2"/>
    <w:rsid w:val="00594B60"/>
    <w:rsid w:val="005966AF"/>
    <w:rsid w:val="00596B97"/>
    <w:rsid w:val="0059776C"/>
    <w:rsid w:val="005979EB"/>
    <w:rsid w:val="005A11E3"/>
    <w:rsid w:val="005A25CD"/>
    <w:rsid w:val="005A27E8"/>
    <w:rsid w:val="005A3410"/>
    <w:rsid w:val="005A3C5C"/>
    <w:rsid w:val="005A3D2C"/>
    <w:rsid w:val="005A4AF1"/>
    <w:rsid w:val="005A5144"/>
    <w:rsid w:val="005A58C5"/>
    <w:rsid w:val="005A5BF3"/>
    <w:rsid w:val="005A7053"/>
    <w:rsid w:val="005B0309"/>
    <w:rsid w:val="005B09EB"/>
    <w:rsid w:val="005B312D"/>
    <w:rsid w:val="005B3143"/>
    <w:rsid w:val="005B4678"/>
    <w:rsid w:val="005B5780"/>
    <w:rsid w:val="005B5AF7"/>
    <w:rsid w:val="005B646F"/>
    <w:rsid w:val="005B6748"/>
    <w:rsid w:val="005B72A2"/>
    <w:rsid w:val="005B7871"/>
    <w:rsid w:val="005C0513"/>
    <w:rsid w:val="005C0D92"/>
    <w:rsid w:val="005C43B0"/>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9C5"/>
    <w:rsid w:val="005E4AA4"/>
    <w:rsid w:val="005E4AAD"/>
    <w:rsid w:val="005E507E"/>
    <w:rsid w:val="005E51FE"/>
    <w:rsid w:val="005E65AE"/>
    <w:rsid w:val="005F1144"/>
    <w:rsid w:val="005F181E"/>
    <w:rsid w:val="005F2800"/>
    <w:rsid w:val="005F2F9B"/>
    <w:rsid w:val="005F4E42"/>
    <w:rsid w:val="005F4E8C"/>
    <w:rsid w:val="00601FC0"/>
    <w:rsid w:val="0060554C"/>
    <w:rsid w:val="00605AB2"/>
    <w:rsid w:val="00606A21"/>
    <w:rsid w:val="00607277"/>
    <w:rsid w:val="006106FA"/>
    <w:rsid w:val="00610E57"/>
    <w:rsid w:val="00610F89"/>
    <w:rsid w:val="00610FC7"/>
    <w:rsid w:val="006116C5"/>
    <w:rsid w:val="00614BC7"/>
    <w:rsid w:val="006171EC"/>
    <w:rsid w:val="00617C4E"/>
    <w:rsid w:val="00621579"/>
    <w:rsid w:val="00621C0D"/>
    <w:rsid w:val="00621C4D"/>
    <w:rsid w:val="00623BDC"/>
    <w:rsid w:val="00623EF1"/>
    <w:rsid w:val="006253E7"/>
    <w:rsid w:val="006269B5"/>
    <w:rsid w:val="00626A6F"/>
    <w:rsid w:val="0063119B"/>
    <w:rsid w:val="00632A9A"/>
    <w:rsid w:val="00632EAD"/>
    <w:rsid w:val="006331B1"/>
    <w:rsid w:val="00633326"/>
    <w:rsid w:val="0063477F"/>
    <w:rsid w:val="00634E28"/>
    <w:rsid w:val="00636995"/>
    <w:rsid w:val="006410EE"/>
    <w:rsid w:val="006429D1"/>
    <w:rsid w:val="00642B17"/>
    <w:rsid w:val="00642EBC"/>
    <w:rsid w:val="00643E04"/>
    <w:rsid w:val="00643F5E"/>
    <w:rsid w:val="00644098"/>
    <w:rsid w:val="00644309"/>
    <w:rsid w:val="00644A76"/>
    <w:rsid w:val="0064582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76A"/>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806"/>
    <w:rsid w:val="00697907"/>
    <w:rsid w:val="006A0081"/>
    <w:rsid w:val="006A0FFF"/>
    <w:rsid w:val="006A1030"/>
    <w:rsid w:val="006A166A"/>
    <w:rsid w:val="006A28AC"/>
    <w:rsid w:val="006A2B88"/>
    <w:rsid w:val="006A2EAB"/>
    <w:rsid w:val="006A329A"/>
    <w:rsid w:val="006A55ED"/>
    <w:rsid w:val="006A59E2"/>
    <w:rsid w:val="006A5A11"/>
    <w:rsid w:val="006A6406"/>
    <w:rsid w:val="006A693E"/>
    <w:rsid w:val="006A7CB7"/>
    <w:rsid w:val="006B0BB2"/>
    <w:rsid w:val="006B2E41"/>
    <w:rsid w:val="006B3EB4"/>
    <w:rsid w:val="006B4BFF"/>
    <w:rsid w:val="006B4F4C"/>
    <w:rsid w:val="006B52E0"/>
    <w:rsid w:val="006B6619"/>
    <w:rsid w:val="006B6674"/>
    <w:rsid w:val="006B6AA8"/>
    <w:rsid w:val="006B6DBB"/>
    <w:rsid w:val="006B6E7B"/>
    <w:rsid w:val="006B7EBE"/>
    <w:rsid w:val="006C31C2"/>
    <w:rsid w:val="006C3CDC"/>
    <w:rsid w:val="006C45F8"/>
    <w:rsid w:val="006C58BA"/>
    <w:rsid w:val="006C6E85"/>
    <w:rsid w:val="006C7689"/>
    <w:rsid w:val="006C7BE2"/>
    <w:rsid w:val="006D3C11"/>
    <w:rsid w:val="006D3D84"/>
    <w:rsid w:val="006D49A3"/>
    <w:rsid w:val="006E0D07"/>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0FD5"/>
    <w:rsid w:val="00721CF5"/>
    <w:rsid w:val="007236FC"/>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0DB"/>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A1C"/>
    <w:rsid w:val="00787CFF"/>
    <w:rsid w:val="00787F61"/>
    <w:rsid w:val="0079221C"/>
    <w:rsid w:val="007933E2"/>
    <w:rsid w:val="00793418"/>
    <w:rsid w:val="0079350C"/>
    <w:rsid w:val="00794FA0"/>
    <w:rsid w:val="007959CF"/>
    <w:rsid w:val="00796F33"/>
    <w:rsid w:val="007973E5"/>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2DAA"/>
    <w:rsid w:val="007C439D"/>
    <w:rsid w:val="007C4585"/>
    <w:rsid w:val="007C7B38"/>
    <w:rsid w:val="007C7E27"/>
    <w:rsid w:val="007D03DD"/>
    <w:rsid w:val="007D2D09"/>
    <w:rsid w:val="007D2D23"/>
    <w:rsid w:val="007D4DEF"/>
    <w:rsid w:val="007D5B8E"/>
    <w:rsid w:val="007E01FF"/>
    <w:rsid w:val="007E0880"/>
    <w:rsid w:val="007E25D9"/>
    <w:rsid w:val="007E40A8"/>
    <w:rsid w:val="007E7D09"/>
    <w:rsid w:val="007F0461"/>
    <w:rsid w:val="007F0B15"/>
    <w:rsid w:val="007F0FD0"/>
    <w:rsid w:val="007F1036"/>
    <w:rsid w:val="007F3BA2"/>
    <w:rsid w:val="007F5F81"/>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3759"/>
    <w:rsid w:val="008145C4"/>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989"/>
    <w:rsid w:val="00835B9E"/>
    <w:rsid w:val="0083604C"/>
    <w:rsid w:val="00837360"/>
    <w:rsid w:val="00837577"/>
    <w:rsid w:val="00840025"/>
    <w:rsid w:val="008406B1"/>
    <w:rsid w:val="008407B7"/>
    <w:rsid w:val="008441AF"/>
    <w:rsid w:val="00845FCB"/>
    <w:rsid w:val="008470C1"/>
    <w:rsid w:val="0084749C"/>
    <w:rsid w:val="00847678"/>
    <w:rsid w:val="00850512"/>
    <w:rsid w:val="0085113D"/>
    <w:rsid w:val="008526CA"/>
    <w:rsid w:val="0085335A"/>
    <w:rsid w:val="00853987"/>
    <w:rsid w:val="008544EC"/>
    <w:rsid w:val="0085509F"/>
    <w:rsid w:val="008551F5"/>
    <w:rsid w:val="0085677D"/>
    <w:rsid w:val="00856787"/>
    <w:rsid w:val="00857F59"/>
    <w:rsid w:val="008601BD"/>
    <w:rsid w:val="0086151B"/>
    <w:rsid w:val="008618D7"/>
    <w:rsid w:val="00862486"/>
    <w:rsid w:val="00863995"/>
    <w:rsid w:val="00863C08"/>
    <w:rsid w:val="00865BF3"/>
    <w:rsid w:val="008666ED"/>
    <w:rsid w:val="00867CDA"/>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21A5"/>
    <w:rsid w:val="008A2239"/>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B6947"/>
    <w:rsid w:val="008C0168"/>
    <w:rsid w:val="008C0419"/>
    <w:rsid w:val="008C04B2"/>
    <w:rsid w:val="008C449F"/>
    <w:rsid w:val="008C4CD8"/>
    <w:rsid w:val="008D0A51"/>
    <w:rsid w:val="008D15D2"/>
    <w:rsid w:val="008D1874"/>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7E5"/>
    <w:rsid w:val="008F74A4"/>
    <w:rsid w:val="008F7B3D"/>
    <w:rsid w:val="00900975"/>
    <w:rsid w:val="00900BC6"/>
    <w:rsid w:val="00900CF6"/>
    <w:rsid w:val="0090611D"/>
    <w:rsid w:val="0090647A"/>
    <w:rsid w:val="009067C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689E"/>
    <w:rsid w:val="0092724E"/>
    <w:rsid w:val="009273DF"/>
    <w:rsid w:val="0092770E"/>
    <w:rsid w:val="00927C55"/>
    <w:rsid w:val="00927E11"/>
    <w:rsid w:val="00930C46"/>
    <w:rsid w:val="00931CA1"/>
    <w:rsid w:val="009326ED"/>
    <w:rsid w:val="009332F5"/>
    <w:rsid w:val="00934C50"/>
    <w:rsid w:val="0093521C"/>
    <w:rsid w:val="009353A8"/>
    <w:rsid w:val="009410BE"/>
    <w:rsid w:val="009415B0"/>
    <w:rsid w:val="0094174A"/>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2897"/>
    <w:rsid w:val="0097341A"/>
    <w:rsid w:val="00973706"/>
    <w:rsid w:val="00973FAD"/>
    <w:rsid w:val="00974103"/>
    <w:rsid w:val="00974787"/>
    <w:rsid w:val="00974FFB"/>
    <w:rsid w:val="0097651A"/>
    <w:rsid w:val="00977DFE"/>
    <w:rsid w:val="00980246"/>
    <w:rsid w:val="00981D2C"/>
    <w:rsid w:val="0098218F"/>
    <w:rsid w:val="009832FD"/>
    <w:rsid w:val="00984847"/>
    <w:rsid w:val="009863C4"/>
    <w:rsid w:val="009901B7"/>
    <w:rsid w:val="009908D6"/>
    <w:rsid w:val="00990E4C"/>
    <w:rsid w:val="009934AA"/>
    <w:rsid w:val="009934DC"/>
    <w:rsid w:val="00993606"/>
    <w:rsid w:val="0099398E"/>
    <w:rsid w:val="00993FC2"/>
    <w:rsid w:val="00995751"/>
    <w:rsid w:val="00995D42"/>
    <w:rsid w:val="00995F9B"/>
    <w:rsid w:val="009963A4"/>
    <w:rsid w:val="009A0748"/>
    <w:rsid w:val="009A15E0"/>
    <w:rsid w:val="009A207B"/>
    <w:rsid w:val="009A3FF1"/>
    <w:rsid w:val="009A432A"/>
    <w:rsid w:val="009A6419"/>
    <w:rsid w:val="009A6DF1"/>
    <w:rsid w:val="009A7F23"/>
    <w:rsid w:val="009B1512"/>
    <w:rsid w:val="009B203F"/>
    <w:rsid w:val="009B39F8"/>
    <w:rsid w:val="009B4343"/>
    <w:rsid w:val="009B6C3B"/>
    <w:rsid w:val="009B71D6"/>
    <w:rsid w:val="009B7AB4"/>
    <w:rsid w:val="009C18F4"/>
    <w:rsid w:val="009C21CF"/>
    <w:rsid w:val="009C3CC6"/>
    <w:rsid w:val="009C5091"/>
    <w:rsid w:val="009C5436"/>
    <w:rsid w:val="009C72BA"/>
    <w:rsid w:val="009D025D"/>
    <w:rsid w:val="009D1967"/>
    <w:rsid w:val="009D1DAB"/>
    <w:rsid w:val="009D28F2"/>
    <w:rsid w:val="009D364C"/>
    <w:rsid w:val="009D45AE"/>
    <w:rsid w:val="009D5552"/>
    <w:rsid w:val="009D56C8"/>
    <w:rsid w:val="009D6708"/>
    <w:rsid w:val="009E0535"/>
    <w:rsid w:val="009E235B"/>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7A5"/>
    <w:rsid w:val="00A06F23"/>
    <w:rsid w:val="00A0754D"/>
    <w:rsid w:val="00A10849"/>
    <w:rsid w:val="00A11D5F"/>
    <w:rsid w:val="00A12B9C"/>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3B4A"/>
    <w:rsid w:val="00A34E6F"/>
    <w:rsid w:val="00A36E93"/>
    <w:rsid w:val="00A37EF5"/>
    <w:rsid w:val="00A42906"/>
    <w:rsid w:val="00A42B68"/>
    <w:rsid w:val="00A4381E"/>
    <w:rsid w:val="00A43AD0"/>
    <w:rsid w:val="00A44099"/>
    <w:rsid w:val="00A44142"/>
    <w:rsid w:val="00A442D9"/>
    <w:rsid w:val="00A45BEC"/>
    <w:rsid w:val="00A47494"/>
    <w:rsid w:val="00A47653"/>
    <w:rsid w:val="00A47B52"/>
    <w:rsid w:val="00A5007E"/>
    <w:rsid w:val="00A5035B"/>
    <w:rsid w:val="00A50AF5"/>
    <w:rsid w:val="00A517E5"/>
    <w:rsid w:val="00A52F02"/>
    <w:rsid w:val="00A54BF8"/>
    <w:rsid w:val="00A55AAA"/>
    <w:rsid w:val="00A55F4E"/>
    <w:rsid w:val="00A56423"/>
    <w:rsid w:val="00A565CC"/>
    <w:rsid w:val="00A5730C"/>
    <w:rsid w:val="00A5767E"/>
    <w:rsid w:val="00A6058F"/>
    <w:rsid w:val="00A60FDB"/>
    <w:rsid w:val="00A619DD"/>
    <w:rsid w:val="00A61FF9"/>
    <w:rsid w:val="00A620BB"/>
    <w:rsid w:val="00A6362E"/>
    <w:rsid w:val="00A6614D"/>
    <w:rsid w:val="00A66D49"/>
    <w:rsid w:val="00A7048A"/>
    <w:rsid w:val="00A7456B"/>
    <w:rsid w:val="00A7460F"/>
    <w:rsid w:val="00A74E28"/>
    <w:rsid w:val="00A7579E"/>
    <w:rsid w:val="00A75A0A"/>
    <w:rsid w:val="00A7702C"/>
    <w:rsid w:val="00A77E2E"/>
    <w:rsid w:val="00A800A9"/>
    <w:rsid w:val="00A80101"/>
    <w:rsid w:val="00A81F3D"/>
    <w:rsid w:val="00A82913"/>
    <w:rsid w:val="00A829A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73AF"/>
    <w:rsid w:val="00AA759B"/>
    <w:rsid w:val="00AB1757"/>
    <w:rsid w:val="00AB2837"/>
    <w:rsid w:val="00AB4475"/>
    <w:rsid w:val="00AB4703"/>
    <w:rsid w:val="00AB4F0C"/>
    <w:rsid w:val="00AB4F10"/>
    <w:rsid w:val="00AB68FE"/>
    <w:rsid w:val="00AC2512"/>
    <w:rsid w:val="00AC314E"/>
    <w:rsid w:val="00AC4DAE"/>
    <w:rsid w:val="00AC5474"/>
    <w:rsid w:val="00AC7EC9"/>
    <w:rsid w:val="00AD0E33"/>
    <w:rsid w:val="00AD115A"/>
    <w:rsid w:val="00AD197E"/>
    <w:rsid w:val="00AD1D34"/>
    <w:rsid w:val="00AD1EBF"/>
    <w:rsid w:val="00AD1F78"/>
    <w:rsid w:val="00AD213B"/>
    <w:rsid w:val="00AD6601"/>
    <w:rsid w:val="00AD7938"/>
    <w:rsid w:val="00AD79F8"/>
    <w:rsid w:val="00AD7EE9"/>
    <w:rsid w:val="00AE012B"/>
    <w:rsid w:val="00AE0E95"/>
    <w:rsid w:val="00AE10FA"/>
    <w:rsid w:val="00AE1A44"/>
    <w:rsid w:val="00AE23E2"/>
    <w:rsid w:val="00AE2455"/>
    <w:rsid w:val="00AE39AE"/>
    <w:rsid w:val="00AE3B55"/>
    <w:rsid w:val="00AE40AE"/>
    <w:rsid w:val="00AE4542"/>
    <w:rsid w:val="00AE4939"/>
    <w:rsid w:val="00AE5F7F"/>
    <w:rsid w:val="00AF1201"/>
    <w:rsid w:val="00AF1402"/>
    <w:rsid w:val="00AF1947"/>
    <w:rsid w:val="00AF196A"/>
    <w:rsid w:val="00AF366E"/>
    <w:rsid w:val="00AF3911"/>
    <w:rsid w:val="00AF3C8D"/>
    <w:rsid w:val="00AF3EFE"/>
    <w:rsid w:val="00AF4D7A"/>
    <w:rsid w:val="00AF5586"/>
    <w:rsid w:val="00AF61CA"/>
    <w:rsid w:val="00AF67DE"/>
    <w:rsid w:val="00AF7D12"/>
    <w:rsid w:val="00B016A2"/>
    <w:rsid w:val="00B01790"/>
    <w:rsid w:val="00B01CDA"/>
    <w:rsid w:val="00B0264A"/>
    <w:rsid w:val="00B03295"/>
    <w:rsid w:val="00B04DC2"/>
    <w:rsid w:val="00B04DFB"/>
    <w:rsid w:val="00B05C05"/>
    <w:rsid w:val="00B06BD6"/>
    <w:rsid w:val="00B07F33"/>
    <w:rsid w:val="00B10162"/>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3D61"/>
    <w:rsid w:val="00B245C0"/>
    <w:rsid w:val="00B257BC"/>
    <w:rsid w:val="00B2630B"/>
    <w:rsid w:val="00B26479"/>
    <w:rsid w:val="00B26C06"/>
    <w:rsid w:val="00B27663"/>
    <w:rsid w:val="00B311D1"/>
    <w:rsid w:val="00B32468"/>
    <w:rsid w:val="00B337E4"/>
    <w:rsid w:val="00B33930"/>
    <w:rsid w:val="00B33CD5"/>
    <w:rsid w:val="00B3401A"/>
    <w:rsid w:val="00B340EF"/>
    <w:rsid w:val="00B34E54"/>
    <w:rsid w:val="00B35B2A"/>
    <w:rsid w:val="00B36981"/>
    <w:rsid w:val="00B36EF7"/>
    <w:rsid w:val="00B37DA3"/>
    <w:rsid w:val="00B37EC6"/>
    <w:rsid w:val="00B401AA"/>
    <w:rsid w:val="00B414D3"/>
    <w:rsid w:val="00B41E93"/>
    <w:rsid w:val="00B43411"/>
    <w:rsid w:val="00B43DD7"/>
    <w:rsid w:val="00B43EE6"/>
    <w:rsid w:val="00B458BA"/>
    <w:rsid w:val="00B47E6C"/>
    <w:rsid w:val="00B501AE"/>
    <w:rsid w:val="00B50AF8"/>
    <w:rsid w:val="00B50BC4"/>
    <w:rsid w:val="00B51785"/>
    <w:rsid w:val="00B52907"/>
    <w:rsid w:val="00B531BC"/>
    <w:rsid w:val="00B54767"/>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2D"/>
    <w:rsid w:val="00BA1874"/>
    <w:rsid w:val="00BA1D5B"/>
    <w:rsid w:val="00BA1E6D"/>
    <w:rsid w:val="00BA4162"/>
    <w:rsid w:val="00BA476B"/>
    <w:rsid w:val="00BA4D9E"/>
    <w:rsid w:val="00BA4E50"/>
    <w:rsid w:val="00BA5B9D"/>
    <w:rsid w:val="00BA6140"/>
    <w:rsid w:val="00BA6365"/>
    <w:rsid w:val="00BB0208"/>
    <w:rsid w:val="00BB067C"/>
    <w:rsid w:val="00BB14FB"/>
    <w:rsid w:val="00BB178A"/>
    <w:rsid w:val="00BB1D16"/>
    <w:rsid w:val="00BB3789"/>
    <w:rsid w:val="00BB7931"/>
    <w:rsid w:val="00BC1F65"/>
    <w:rsid w:val="00BC2A2E"/>
    <w:rsid w:val="00BC2FF6"/>
    <w:rsid w:val="00BC3866"/>
    <w:rsid w:val="00BC45D2"/>
    <w:rsid w:val="00BC5490"/>
    <w:rsid w:val="00BC59AA"/>
    <w:rsid w:val="00BC65C0"/>
    <w:rsid w:val="00BD0B4D"/>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1CF9"/>
    <w:rsid w:val="00C0254D"/>
    <w:rsid w:val="00C03618"/>
    <w:rsid w:val="00C03E4E"/>
    <w:rsid w:val="00C04A24"/>
    <w:rsid w:val="00C05DD6"/>
    <w:rsid w:val="00C05FF4"/>
    <w:rsid w:val="00C06493"/>
    <w:rsid w:val="00C06553"/>
    <w:rsid w:val="00C06C3E"/>
    <w:rsid w:val="00C0714A"/>
    <w:rsid w:val="00C07CBE"/>
    <w:rsid w:val="00C10D7C"/>
    <w:rsid w:val="00C126F8"/>
    <w:rsid w:val="00C12BA5"/>
    <w:rsid w:val="00C12D45"/>
    <w:rsid w:val="00C14A29"/>
    <w:rsid w:val="00C15A63"/>
    <w:rsid w:val="00C16AF1"/>
    <w:rsid w:val="00C16CA2"/>
    <w:rsid w:val="00C1788F"/>
    <w:rsid w:val="00C20B39"/>
    <w:rsid w:val="00C216D5"/>
    <w:rsid w:val="00C2327B"/>
    <w:rsid w:val="00C24DA9"/>
    <w:rsid w:val="00C25D87"/>
    <w:rsid w:val="00C25F15"/>
    <w:rsid w:val="00C278AB"/>
    <w:rsid w:val="00C27AEE"/>
    <w:rsid w:val="00C306C5"/>
    <w:rsid w:val="00C31A58"/>
    <w:rsid w:val="00C3215E"/>
    <w:rsid w:val="00C3220C"/>
    <w:rsid w:val="00C32743"/>
    <w:rsid w:val="00C33166"/>
    <w:rsid w:val="00C3322B"/>
    <w:rsid w:val="00C336C5"/>
    <w:rsid w:val="00C33CF6"/>
    <w:rsid w:val="00C356BC"/>
    <w:rsid w:val="00C35D43"/>
    <w:rsid w:val="00C3609A"/>
    <w:rsid w:val="00C361EE"/>
    <w:rsid w:val="00C3715D"/>
    <w:rsid w:val="00C372AE"/>
    <w:rsid w:val="00C40A45"/>
    <w:rsid w:val="00C41C59"/>
    <w:rsid w:val="00C43243"/>
    <w:rsid w:val="00C43569"/>
    <w:rsid w:val="00C43A83"/>
    <w:rsid w:val="00C4584F"/>
    <w:rsid w:val="00C47DA3"/>
    <w:rsid w:val="00C50A1E"/>
    <w:rsid w:val="00C51707"/>
    <w:rsid w:val="00C5345B"/>
    <w:rsid w:val="00C5399B"/>
    <w:rsid w:val="00C542FC"/>
    <w:rsid w:val="00C55C30"/>
    <w:rsid w:val="00C5651B"/>
    <w:rsid w:val="00C56AF7"/>
    <w:rsid w:val="00C57895"/>
    <w:rsid w:val="00C60774"/>
    <w:rsid w:val="00C60DC9"/>
    <w:rsid w:val="00C611CC"/>
    <w:rsid w:val="00C61217"/>
    <w:rsid w:val="00C6334C"/>
    <w:rsid w:val="00C6587B"/>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937B7"/>
    <w:rsid w:val="00C95EF1"/>
    <w:rsid w:val="00C96543"/>
    <w:rsid w:val="00C966F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3B11"/>
    <w:rsid w:val="00CB4418"/>
    <w:rsid w:val="00CB461D"/>
    <w:rsid w:val="00CB6434"/>
    <w:rsid w:val="00CB67E9"/>
    <w:rsid w:val="00CB77D9"/>
    <w:rsid w:val="00CC1FF5"/>
    <w:rsid w:val="00CC2B28"/>
    <w:rsid w:val="00CC406B"/>
    <w:rsid w:val="00CC5CED"/>
    <w:rsid w:val="00CC60A8"/>
    <w:rsid w:val="00CC627D"/>
    <w:rsid w:val="00CC65B2"/>
    <w:rsid w:val="00CC6660"/>
    <w:rsid w:val="00CC71E4"/>
    <w:rsid w:val="00CD098F"/>
    <w:rsid w:val="00CD0DC7"/>
    <w:rsid w:val="00CD0F64"/>
    <w:rsid w:val="00CD548A"/>
    <w:rsid w:val="00CD5948"/>
    <w:rsid w:val="00CD633F"/>
    <w:rsid w:val="00CD6579"/>
    <w:rsid w:val="00CD79AB"/>
    <w:rsid w:val="00CE1A0C"/>
    <w:rsid w:val="00CE436C"/>
    <w:rsid w:val="00CE4A65"/>
    <w:rsid w:val="00CE4F0F"/>
    <w:rsid w:val="00CE57E7"/>
    <w:rsid w:val="00CE6A66"/>
    <w:rsid w:val="00CE727C"/>
    <w:rsid w:val="00CE7A84"/>
    <w:rsid w:val="00CF0271"/>
    <w:rsid w:val="00CF2881"/>
    <w:rsid w:val="00CF2D2F"/>
    <w:rsid w:val="00CF3A01"/>
    <w:rsid w:val="00D00CF5"/>
    <w:rsid w:val="00D014D5"/>
    <w:rsid w:val="00D0254E"/>
    <w:rsid w:val="00D03319"/>
    <w:rsid w:val="00D03DD1"/>
    <w:rsid w:val="00D03DFC"/>
    <w:rsid w:val="00D03E44"/>
    <w:rsid w:val="00D1077D"/>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2AF4"/>
    <w:rsid w:val="00D33B1A"/>
    <w:rsid w:val="00D3581F"/>
    <w:rsid w:val="00D35BF7"/>
    <w:rsid w:val="00D36A6F"/>
    <w:rsid w:val="00D36E44"/>
    <w:rsid w:val="00D37116"/>
    <w:rsid w:val="00D37DEF"/>
    <w:rsid w:val="00D40A33"/>
    <w:rsid w:val="00D4157B"/>
    <w:rsid w:val="00D42A43"/>
    <w:rsid w:val="00D4330F"/>
    <w:rsid w:val="00D43782"/>
    <w:rsid w:val="00D45030"/>
    <w:rsid w:val="00D45E3D"/>
    <w:rsid w:val="00D46586"/>
    <w:rsid w:val="00D46E44"/>
    <w:rsid w:val="00D50642"/>
    <w:rsid w:val="00D50657"/>
    <w:rsid w:val="00D53171"/>
    <w:rsid w:val="00D532E6"/>
    <w:rsid w:val="00D53BAC"/>
    <w:rsid w:val="00D55D3F"/>
    <w:rsid w:val="00D561F8"/>
    <w:rsid w:val="00D56BEB"/>
    <w:rsid w:val="00D56E84"/>
    <w:rsid w:val="00D5774D"/>
    <w:rsid w:val="00D57FD5"/>
    <w:rsid w:val="00D6039C"/>
    <w:rsid w:val="00D6044C"/>
    <w:rsid w:val="00D61116"/>
    <w:rsid w:val="00D61FCD"/>
    <w:rsid w:val="00D63101"/>
    <w:rsid w:val="00D63733"/>
    <w:rsid w:val="00D64F08"/>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2E20"/>
    <w:rsid w:val="00D946A9"/>
    <w:rsid w:val="00D95B6A"/>
    <w:rsid w:val="00D961EF"/>
    <w:rsid w:val="00D9715F"/>
    <w:rsid w:val="00DA2240"/>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0E40"/>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0972"/>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372E"/>
    <w:rsid w:val="00E44902"/>
    <w:rsid w:val="00E4492A"/>
    <w:rsid w:val="00E4497C"/>
    <w:rsid w:val="00E45A7D"/>
    <w:rsid w:val="00E45D9C"/>
    <w:rsid w:val="00E4673A"/>
    <w:rsid w:val="00E46BEC"/>
    <w:rsid w:val="00E46F9E"/>
    <w:rsid w:val="00E52D7D"/>
    <w:rsid w:val="00E52EF9"/>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0B7E"/>
    <w:rsid w:val="00EB211D"/>
    <w:rsid w:val="00EB4165"/>
    <w:rsid w:val="00EB52A7"/>
    <w:rsid w:val="00EB7314"/>
    <w:rsid w:val="00EC0F44"/>
    <w:rsid w:val="00EC11FF"/>
    <w:rsid w:val="00EC171C"/>
    <w:rsid w:val="00EC21E6"/>
    <w:rsid w:val="00EC29CC"/>
    <w:rsid w:val="00EC5A6F"/>
    <w:rsid w:val="00EC6593"/>
    <w:rsid w:val="00ED0D81"/>
    <w:rsid w:val="00ED2055"/>
    <w:rsid w:val="00ED3F31"/>
    <w:rsid w:val="00ED4B17"/>
    <w:rsid w:val="00ED5224"/>
    <w:rsid w:val="00EE01F5"/>
    <w:rsid w:val="00EE176A"/>
    <w:rsid w:val="00EE1F9B"/>
    <w:rsid w:val="00EE20A4"/>
    <w:rsid w:val="00EE38A9"/>
    <w:rsid w:val="00EE3F02"/>
    <w:rsid w:val="00EE5CAF"/>
    <w:rsid w:val="00EE616D"/>
    <w:rsid w:val="00EE758A"/>
    <w:rsid w:val="00EF102F"/>
    <w:rsid w:val="00EF174A"/>
    <w:rsid w:val="00EF3646"/>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1DE8"/>
    <w:rsid w:val="00F52755"/>
    <w:rsid w:val="00F52B5B"/>
    <w:rsid w:val="00F53984"/>
    <w:rsid w:val="00F54ADB"/>
    <w:rsid w:val="00F55959"/>
    <w:rsid w:val="00F56531"/>
    <w:rsid w:val="00F566BD"/>
    <w:rsid w:val="00F5714B"/>
    <w:rsid w:val="00F605CC"/>
    <w:rsid w:val="00F60776"/>
    <w:rsid w:val="00F607C8"/>
    <w:rsid w:val="00F61BEC"/>
    <w:rsid w:val="00F623F8"/>
    <w:rsid w:val="00F62A63"/>
    <w:rsid w:val="00F6385F"/>
    <w:rsid w:val="00F64BD2"/>
    <w:rsid w:val="00F64C49"/>
    <w:rsid w:val="00F658C8"/>
    <w:rsid w:val="00F659F4"/>
    <w:rsid w:val="00F700E6"/>
    <w:rsid w:val="00F70E24"/>
    <w:rsid w:val="00F727B6"/>
    <w:rsid w:val="00F7477D"/>
    <w:rsid w:val="00F74F40"/>
    <w:rsid w:val="00F75F05"/>
    <w:rsid w:val="00F76787"/>
    <w:rsid w:val="00F81152"/>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0D2"/>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4AC1"/>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6330">
      <w:bodyDiv w:val="1"/>
      <w:marLeft w:val="0"/>
      <w:marRight w:val="0"/>
      <w:marTop w:val="0"/>
      <w:marBottom w:val="0"/>
      <w:divBdr>
        <w:top w:val="none" w:sz="0" w:space="0" w:color="auto"/>
        <w:left w:val="none" w:sz="0" w:space="0" w:color="auto"/>
        <w:bottom w:val="none" w:sz="0" w:space="0" w:color="auto"/>
        <w:right w:val="none" w:sz="0" w:space="0" w:color="auto"/>
      </w:divBdr>
    </w:div>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87040689">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194467414">
      <w:bodyDiv w:val="1"/>
      <w:marLeft w:val="0"/>
      <w:marRight w:val="0"/>
      <w:marTop w:val="0"/>
      <w:marBottom w:val="0"/>
      <w:divBdr>
        <w:top w:val="none" w:sz="0" w:space="0" w:color="auto"/>
        <w:left w:val="none" w:sz="0" w:space="0" w:color="auto"/>
        <w:bottom w:val="none" w:sz="0" w:space="0" w:color="auto"/>
        <w:right w:val="none" w:sz="0" w:space="0" w:color="auto"/>
      </w:divBdr>
    </w:div>
    <w:div w:id="222764528">
      <w:bodyDiv w:val="1"/>
      <w:marLeft w:val="0"/>
      <w:marRight w:val="0"/>
      <w:marTop w:val="0"/>
      <w:marBottom w:val="0"/>
      <w:divBdr>
        <w:top w:val="none" w:sz="0" w:space="0" w:color="auto"/>
        <w:left w:val="none" w:sz="0" w:space="0" w:color="auto"/>
        <w:bottom w:val="none" w:sz="0" w:space="0" w:color="auto"/>
        <w:right w:val="none" w:sz="0" w:space="0" w:color="auto"/>
      </w:divBdr>
    </w:div>
    <w:div w:id="270673937">
      <w:bodyDiv w:val="1"/>
      <w:marLeft w:val="0"/>
      <w:marRight w:val="0"/>
      <w:marTop w:val="0"/>
      <w:marBottom w:val="0"/>
      <w:divBdr>
        <w:top w:val="none" w:sz="0" w:space="0" w:color="auto"/>
        <w:left w:val="none" w:sz="0" w:space="0" w:color="auto"/>
        <w:bottom w:val="none" w:sz="0" w:space="0" w:color="auto"/>
        <w:right w:val="none" w:sz="0" w:space="0" w:color="auto"/>
      </w:divBdr>
    </w:div>
    <w:div w:id="296185279">
      <w:bodyDiv w:val="1"/>
      <w:marLeft w:val="0"/>
      <w:marRight w:val="0"/>
      <w:marTop w:val="0"/>
      <w:marBottom w:val="0"/>
      <w:divBdr>
        <w:top w:val="none" w:sz="0" w:space="0" w:color="auto"/>
        <w:left w:val="none" w:sz="0" w:space="0" w:color="auto"/>
        <w:bottom w:val="none" w:sz="0" w:space="0" w:color="auto"/>
        <w:right w:val="none" w:sz="0" w:space="0" w:color="auto"/>
      </w:divBdr>
    </w:div>
    <w:div w:id="353769417">
      <w:bodyDiv w:val="1"/>
      <w:marLeft w:val="0"/>
      <w:marRight w:val="0"/>
      <w:marTop w:val="0"/>
      <w:marBottom w:val="0"/>
      <w:divBdr>
        <w:top w:val="none" w:sz="0" w:space="0" w:color="auto"/>
        <w:left w:val="none" w:sz="0" w:space="0" w:color="auto"/>
        <w:bottom w:val="none" w:sz="0" w:space="0" w:color="auto"/>
        <w:right w:val="none" w:sz="0" w:space="0" w:color="auto"/>
      </w:divBdr>
    </w:div>
    <w:div w:id="366491627">
      <w:bodyDiv w:val="1"/>
      <w:marLeft w:val="0"/>
      <w:marRight w:val="0"/>
      <w:marTop w:val="0"/>
      <w:marBottom w:val="0"/>
      <w:divBdr>
        <w:top w:val="none" w:sz="0" w:space="0" w:color="auto"/>
        <w:left w:val="none" w:sz="0" w:space="0" w:color="auto"/>
        <w:bottom w:val="none" w:sz="0" w:space="0" w:color="auto"/>
        <w:right w:val="none" w:sz="0" w:space="0" w:color="auto"/>
      </w:divBdr>
    </w:div>
    <w:div w:id="506287488">
      <w:bodyDiv w:val="1"/>
      <w:marLeft w:val="0"/>
      <w:marRight w:val="0"/>
      <w:marTop w:val="0"/>
      <w:marBottom w:val="0"/>
      <w:divBdr>
        <w:top w:val="none" w:sz="0" w:space="0" w:color="auto"/>
        <w:left w:val="none" w:sz="0" w:space="0" w:color="auto"/>
        <w:bottom w:val="none" w:sz="0" w:space="0" w:color="auto"/>
        <w:right w:val="none" w:sz="0" w:space="0" w:color="auto"/>
      </w:divBdr>
    </w:div>
    <w:div w:id="549923524">
      <w:bodyDiv w:val="1"/>
      <w:marLeft w:val="0"/>
      <w:marRight w:val="0"/>
      <w:marTop w:val="0"/>
      <w:marBottom w:val="0"/>
      <w:divBdr>
        <w:top w:val="none" w:sz="0" w:space="0" w:color="auto"/>
        <w:left w:val="none" w:sz="0" w:space="0" w:color="auto"/>
        <w:bottom w:val="none" w:sz="0" w:space="0" w:color="auto"/>
        <w:right w:val="none" w:sz="0" w:space="0" w:color="auto"/>
      </w:divBdr>
    </w:div>
    <w:div w:id="762728557">
      <w:bodyDiv w:val="1"/>
      <w:marLeft w:val="0"/>
      <w:marRight w:val="0"/>
      <w:marTop w:val="0"/>
      <w:marBottom w:val="0"/>
      <w:divBdr>
        <w:top w:val="none" w:sz="0" w:space="0" w:color="auto"/>
        <w:left w:val="none" w:sz="0" w:space="0" w:color="auto"/>
        <w:bottom w:val="none" w:sz="0" w:space="0" w:color="auto"/>
        <w:right w:val="none" w:sz="0" w:space="0" w:color="auto"/>
      </w:divBdr>
    </w:div>
    <w:div w:id="777026289">
      <w:bodyDiv w:val="1"/>
      <w:marLeft w:val="0"/>
      <w:marRight w:val="0"/>
      <w:marTop w:val="0"/>
      <w:marBottom w:val="0"/>
      <w:divBdr>
        <w:top w:val="none" w:sz="0" w:space="0" w:color="auto"/>
        <w:left w:val="none" w:sz="0" w:space="0" w:color="auto"/>
        <w:bottom w:val="none" w:sz="0" w:space="0" w:color="auto"/>
        <w:right w:val="none" w:sz="0" w:space="0" w:color="auto"/>
      </w:divBdr>
    </w:div>
    <w:div w:id="777218294">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923345275">
      <w:bodyDiv w:val="1"/>
      <w:marLeft w:val="0"/>
      <w:marRight w:val="0"/>
      <w:marTop w:val="0"/>
      <w:marBottom w:val="0"/>
      <w:divBdr>
        <w:top w:val="none" w:sz="0" w:space="0" w:color="auto"/>
        <w:left w:val="none" w:sz="0" w:space="0" w:color="auto"/>
        <w:bottom w:val="none" w:sz="0" w:space="0" w:color="auto"/>
        <w:right w:val="none" w:sz="0" w:space="0" w:color="auto"/>
      </w:divBdr>
    </w:div>
    <w:div w:id="929771726">
      <w:bodyDiv w:val="1"/>
      <w:marLeft w:val="0"/>
      <w:marRight w:val="0"/>
      <w:marTop w:val="0"/>
      <w:marBottom w:val="0"/>
      <w:divBdr>
        <w:top w:val="none" w:sz="0" w:space="0" w:color="auto"/>
        <w:left w:val="none" w:sz="0" w:space="0" w:color="auto"/>
        <w:bottom w:val="none" w:sz="0" w:space="0" w:color="auto"/>
        <w:right w:val="none" w:sz="0" w:space="0" w:color="auto"/>
      </w:divBdr>
    </w:div>
    <w:div w:id="930554205">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203710094">
      <w:bodyDiv w:val="1"/>
      <w:marLeft w:val="0"/>
      <w:marRight w:val="0"/>
      <w:marTop w:val="0"/>
      <w:marBottom w:val="0"/>
      <w:divBdr>
        <w:top w:val="none" w:sz="0" w:space="0" w:color="auto"/>
        <w:left w:val="none" w:sz="0" w:space="0" w:color="auto"/>
        <w:bottom w:val="none" w:sz="0" w:space="0" w:color="auto"/>
        <w:right w:val="none" w:sz="0" w:space="0" w:color="auto"/>
      </w:divBdr>
    </w:div>
    <w:div w:id="1264344820">
      <w:bodyDiv w:val="1"/>
      <w:marLeft w:val="0"/>
      <w:marRight w:val="0"/>
      <w:marTop w:val="0"/>
      <w:marBottom w:val="0"/>
      <w:divBdr>
        <w:top w:val="none" w:sz="0" w:space="0" w:color="auto"/>
        <w:left w:val="none" w:sz="0" w:space="0" w:color="auto"/>
        <w:bottom w:val="none" w:sz="0" w:space="0" w:color="auto"/>
        <w:right w:val="none" w:sz="0" w:space="0" w:color="auto"/>
      </w:divBdr>
    </w:div>
    <w:div w:id="1290280532">
      <w:bodyDiv w:val="1"/>
      <w:marLeft w:val="0"/>
      <w:marRight w:val="0"/>
      <w:marTop w:val="0"/>
      <w:marBottom w:val="0"/>
      <w:divBdr>
        <w:top w:val="none" w:sz="0" w:space="0" w:color="auto"/>
        <w:left w:val="none" w:sz="0" w:space="0" w:color="auto"/>
        <w:bottom w:val="none" w:sz="0" w:space="0" w:color="auto"/>
        <w:right w:val="none" w:sz="0" w:space="0" w:color="auto"/>
      </w:divBdr>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435514777">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594704869">
      <w:bodyDiv w:val="1"/>
      <w:marLeft w:val="0"/>
      <w:marRight w:val="0"/>
      <w:marTop w:val="0"/>
      <w:marBottom w:val="0"/>
      <w:divBdr>
        <w:top w:val="none" w:sz="0" w:space="0" w:color="auto"/>
        <w:left w:val="none" w:sz="0" w:space="0" w:color="auto"/>
        <w:bottom w:val="none" w:sz="0" w:space="0" w:color="auto"/>
        <w:right w:val="none" w:sz="0" w:space="0" w:color="auto"/>
      </w:divBdr>
    </w:div>
    <w:div w:id="1612125884">
      <w:bodyDiv w:val="1"/>
      <w:marLeft w:val="0"/>
      <w:marRight w:val="0"/>
      <w:marTop w:val="0"/>
      <w:marBottom w:val="0"/>
      <w:divBdr>
        <w:top w:val="none" w:sz="0" w:space="0" w:color="auto"/>
        <w:left w:val="none" w:sz="0" w:space="0" w:color="auto"/>
        <w:bottom w:val="none" w:sz="0" w:space="0" w:color="auto"/>
        <w:right w:val="none" w:sz="0" w:space="0" w:color="auto"/>
      </w:divBdr>
    </w:div>
    <w:div w:id="1636134417">
      <w:bodyDiv w:val="1"/>
      <w:marLeft w:val="0"/>
      <w:marRight w:val="0"/>
      <w:marTop w:val="0"/>
      <w:marBottom w:val="0"/>
      <w:divBdr>
        <w:top w:val="none" w:sz="0" w:space="0" w:color="auto"/>
        <w:left w:val="none" w:sz="0" w:space="0" w:color="auto"/>
        <w:bottom w:val="none" w:sz="0" w:space="0" w:color="auto"/>
        <w:right w:val="none" w:sz="0" w:space="0" w:color="auto"/>
      </w:divBdr>
    </w:div>
    <w:div w:id="1659072790">
      <w:bodyDiv w:val="1"/>
      <w:marLeft w:val="0"/>
      <w:marRight w:val="0"/>
      <w:marTop w:val="0"/>
      <w:marBottom w:val="0"/>
      <w:divBdr>
        <w:top w:val="none" w:sz="0" w:space="0" w:color="auto"/>
        <w:left w:val="none" w:sz="0" w:space="0" w:color="auto"/>
        <w:bottom w:val="none" w:sz="0" w:space="0" w:color="auto"/>
        <w:right w:val="none" w:sz="0" w:space="0" w:color="auto"/>
      </w:divBdr>
    </w:div>
    <w:div w:id="1687096677">
      <w:bodyDiv w:val="1"/>
      <w:marLeft w:val="0"/>
      <w:marRight w:val="0"/>
      <w:marTop w:val="0"/>
      <w:marBottom w:val="0"/>
      <w:divBdr>
        <w:top w:val="none" w:sz="0" w:space="0" w:color="auto"/>
        <w:left w:val="none" w:sz="0" w:space="0" w:color="auto"/>
        <w:bottom w:val="none" w:sz="0" w:space="0" w:color="auto"/>
        <w:right w:val="none" w:sz="0" w:space="0" w:color="auto"/>
      </w:divBdr>
    </w:div>
    <w:div w:id="1699576495">
      <w:bodyDiv w:val="1"/>
      <w:marLeft w:val="0"/>
      <w:marRight w:val="0"/>
      <w:marTop w:val="0"/>
      <w:marBottom w:val="0"/>
      <w:divBdr>
        <w:top w:val="none" w:sz="0" w:space="0" w:color="auto"/>
        <w:left w:val="none" w:sz="0" w:space="0" w:color="auto"/>
        <w:bottom w:val="none" w:sz="0" w:space="0" w:color="auto"/>
        <w:right w:val="none" w:sz="0" w:space="0" w:color="auto"/>
      </w:divBdr>
    </w:div>
    <w:div w:id="1711881762">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817145952">
      <w:bodyDiv w:val="1"/>
      <w:marLeft w:val="0"/>
      <w:marRight w:val="0"/>
      <w:marTop w:val="0"/>
      <w:marBottom w:val="0"/>
      <w:divBdr>
        <w:top w:val="none" w:sz="0" w:space="0" w:color="auto"/>
        <w:left w:val="none" w:sz="0" w:space="0" w:color="auto"/>
        <w:bottom w:val="none" w:sz="0" w:space="0" w:color="auto"/>
        <w:right w:val="none" w:sz="0" w:space="0" w:color="auto"/>
      </w:divBdr>
    </w:div>
    <w:div w:id="1921019651">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 w:id="2110152072">
      <w:bodyDiv w:val="1"/>
      <w:marLeft w:val="0"/>
      <w:marRight w:val="0"/>
      <w:marTop w:val="0"/>
      <w:marBottom w:val="0"/>
      <w:divBdr>
        <w:top w:val="none" w:sz="0" w:space="0" w:color="auto"/>
        <w:left w:val="none" w:sz="0" w:space="0" w:color="auto"/>
        <w:bottom w:val="none" w:sz="0" w:space="0" w:color="auto"/>
        <w:right w:val="none" w:sz="0" w:space="0" w:color="auto"/>
      </w:divBdr>
    </w:div>
    <w:div w:id="212330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4102</TotalTime>
  <Pages>1</Pages>
  <Words>1008</Words>
  <Characters>5746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1218</cp:revision>
  <cp:lastPrinted>2025-04-15T09:36:00Z</cp:lastPrinted>
  <dcterms:created xsi:type="dcterms:W3CDTF">2022-10-16T08:36:00Z</dcterms:created>
  <dcterms:modified xsi:type="dcterms:W3CDTF">2025-10-19T08:25:00Z</dcterms:modified>
</cp:coreProperties>
</file>