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F01C1" w14:textId="77777777" w:rsidR="003B12D5" w:rsidRDefault="003B12D5" w:rsidP="003B12D5">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07133D42" w14:textId="77777777" w:rsidR="003B12D5" w:rsidRDefault="003B12D5" w:rsidP="003B12D5">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0821AF13" w14:textId="77777777" w:rsidR="003B12D5" w:rsidRDefault="003B12D5" w:rsidP="003B12D5">
      <w:pPr>
        <w:widowControl w:val="0"/>
        <w:bidi/>
        <w:spacing w:after="240"/>
        <w:jc w:val="center"/>
        <w:rPr>
          <w:rFonts w:cs="B Mitra" w:hint="cs"/>
          <w:b/>
          <w:bCs/>
          <w:sz w:val="32"/>
          <w:szCs w:val="32"/>
          <w:rtl/>
          <w:lang w:bidi="fa-IR"/>
        </w:rPr>
      </w:pPr>
      <w:r>
        <w:rPr>
          <w:rFonts w:cs="B Mitra" w:hint="cs"/>
          <w:b/>
          <w:bCs/>
          <w:sz w:val="32"/>
          <w:szCs w:val="32"/>
          <w:rtl/>
          <w:lang w:bidi="fa-IR"/>
        </w:rPr>
        <w:t>جلسه 952</w:t>
      </w:r>
    </w:p>
    <w:bookmarkEnd w:id="0"/>
    <w:p w14:paraId="0F4611D2" w14:textId="77777777" w:rsidR="003B12D5" w:rsidRDefault="003B12D5" w:rsidP="003B12D5">
      <w:pPr>
        <w:widowControl w:val="0"/>
        <w:tabs>
          <w:tab w:val="num" w:pos="1440"/>
        </w:tabs>
        <w:bidi/>
        <w:spacing w:before="240"/>
        <w:ind w:firstLine="289"/>
        <w:jc w:val="both"/>
        <w:rPr>
          <w:rFonts w:cs="2  Mitra" w:hint="cs"/>
          <w:sz w:val="28"/>
          <w:szCs w:val="28"/>
          <w:rtl/>
        </w:rPr>
      </w:pPr>
    </w:p>
    <w:p w14:paraId="0E265552" w14:textId="77777777" w:rsidR="003B12D5" w:rsidRDefault="003B12D5" w:rsidP="003B12D5">
      <w:pPr>
        <w:widowControl w:val="0"/>
        <w:tabs>
          <w:tab w:val="num" w:pos="1440"/>
        </w:tabs>
        <w:bidi/>
        <w:spacing w:before="240"/>
        <w:ind w:firstLine="289"/>
        <w:jc w:val="both"/>
        <w:rPr>
          <w:rFonts w:cs="2  Mitra" w:hint="cs"/>
          <w:sz w:val="28"/>
          <w:szCs w:val="28"/>
          <w:rtl/>
        </w:rPr>
      </w:pPr>
      <w:r>
        <w:rPr>
          <w:rFonts w:cs="2  Mitra" w:hint="cs"/>
          <w:sz w:val="28"/>
          <w:szCs w:val="28"/>
          <w:rtl/>
        </w:rPr>
        <w:t>گفتيم که خود عدد دارای عموم نيست.</w:t>
      </w:r>
    </w:p>
    <w:p w14:paraId="6FA3EED2" w14:textId="77777777" w:rsidR="003B12D5" w:rsidRDefault="003B12D5" w:rsidP="003B12D5">
      <w:pPr>
        <w:widowControl w:val="0"/>
        <w:tabs>
          <w:tab w:val="num" w:pos="1440"/>
        </w:tabs>
        <w:bidi/>
        <w:spacing w:before="240"/>
        <w:ind w:firstLine="289"/>
        <w:jc w:val="both"/>
        <w:rPr>
          <w:rFonts w:cs="2  Mitra" w:hint="cs"/>
          <w:sz w:val="28"/>
          <w:szCs w:val="28"/>
          <w:rtl/>
        </w:rPr>
      </w:pPr>
      <w:r>
        <w:rPr>
          <w:rFonts w:cs="2  Mitra" w:hint="cs"/>
          <w:sz w:val="28"/>
          <w:szCs w:val="28"/>
          <w:rtl/>
        </w:rPr>
        <w:t>اما مطلب بعدی در خصوص عدد اين است که چنانچه عدد بر سر معدودی در آيد ـ مثل: «</w:t>
      </w:r>
      <w:r>
        <w:rPr>
          <w:rFonts w:cs="Abz-2 (Badr)" w:hint="cs"/>
          <w:sz w:val="28"/>
          <w:szCs w:val="28"/>
          <w:rtl/>
        </w:rPr>
        <w:t>عشرة رجال</w:t>
      </w:r>
      <w:r>
        <w:rPr>
          <w:rFonts w:cs="2  Mitra" w:hint="cs"/>
          <w:sz w:val="28"/>
          <w:szCs w:val="28"/>
          <w:rtl/>
        </w:rPr>
        <w:t>» ـ آيا در اين صورت می</w:t>
      </w:r>
      <w:r>
        <w:rPr>
          <w:rFonts w:cs="2  Mitra" w:hint="cs"/>
          <w:sz w:val="28"/>
          <w:szCs w:val="28"/>
          <w:rtl/>
        </w:rPr>
        <w:softHyphen/>
        <w:t>توان ادعا کرد که معدود دارای عموم می</w:t>
      </w:r>
      <w:r>
        <w:rPr>
          <w:rFonts w:cs="2  Mitra" w:hint="cs"/>
          <w:sz w:val="28"/>
          <w:szCs w:val="28"/>
          <w:rtl/>
        </w:rPr>
        <w:softHyphen/>
        <w:t>شود؟ به عبارت ديگر: آيا می</w:t>
      </w:r>
      <w:r>
        <w:rPr>
          <w:rFonts w:cs="2  Mitra" w:hint="cs"/>
          <w:sz w:val="28"/>
          <w:szCs w:val="28"/>
          <w:rtl/>
        </w:rPr>
        <w:softHyphen/>
        <w:t>توان اعداد را از ادات عموم به حساب آورد؟</w:t>
      </w:r>
    </w:p>
    <w:p w14:paraId="7F0DEBCA" w14:textId="77777777" w:rsidR="003B12D5" w:rsidRDefault="003B12D5" w:rsidP="003B12D5">
      <w:pPr>
        <w:widowControl w:val="0"/>
        <w:tabs>
          <w:tab w:val="num" w:pos="1440"/>
        </w:tabs>
        <w:bidi/>
        <w:spacing w:before="240" w:line="264" w:lineRule="auto"/>
        <w:ind w:firstLine="289"/>
        <w:jc w:val="both"/>
        <w:rPr>
          <w:rFonts w:cs="2  Mitra" w:hint="cs"/>
          <w:sz w:val="28"/>
          <w:szCs w:val="28"/>
          <w:rtl/>
        </w:rPr>
      </w:pPr>
      <w:r>
        <w:rPr>
          <w:rFonts w:cs="2  Mitra" w:hint="cs"/>
          <w:sz w:val="28"/>
          <w:szCs w:val="28"/>
          <w:rtl/>
        </w:rPr>
        <w:t>مرحوم آيت الله خوئی در اين خصوص می</w:t>
      </w:r>
      <w:r>
        <w:rPr>
          <w:rFonts w:cs="2  Mitra" w:hint="cs"/>
          <w:sz w:val="28"/>
          <w:szCs w:val="28"/>
          <w:rtl/>
        </w:rPr>
        <w:softHyphen/>
        <w:t>فرمايد: عدد در ترکیب‌هایی مانند «</w:t>
      </w:r>
      <w:r>
        <w:rPr>
          <w:rFonts w:cs="Abz-2 (Badr)" w:hint="cs"/>
          <w:sz w:val="28"/>
          <w:szCs w:val="28"/>
          <w:rtl/>
        </w:rPr>
        <w:t>أکرم عشرة رجال</w:t>
      </w:r>
      <w:r>
        <w:rPr>
          <w:rFonts w:cs="2  Mitra" w:hint="cs"/>
          <w:sz w:val="28"/>
          <w:szCs w:val="28"/>
          <w:rtl/>
        </w:rPr>
        <w:t>» دلالت ندارد بر سرایت حکم به تک‌تک مصادیق معدود، بلکه فقط به موجب اطلاق و تماميت مقدمات حکمت، مکلّف را در تعیین مصداق «</w:t>
      </w:r>
      <w:r>
        <w:rPr>
          <w:rFonts w:cs="Abz-2 (Badr)" w:hint="cs"/>
          <w:sz w:val="28"/>
          <w:szCs w:val="28"/>
          <w:rtl/>
        </w:rPr>
        <w:t>عشرة رجال</w:t>
      </w:r>
      <w:r>
        <w:rPr>
          <w:rFonts w:cs="2  Mitra" w:hint="cs"/>
          <w:sz w:val="28"/>
          <w:szCs w:val="28"/>
          <w:rtl/>
        </w:rPr>
        <w:t>» مخیّر می‌سازد. سرایت حکم به آحاد معدود نيز از نوع سرایت ضمنی حکم واحد به اجزای یک مرکب است، نه سرایت احکام متعدد و مستقل به افراد گوناگون تا آن که از سنخ دلالت عام بر عموم افراد مدخولش محسوب گردد.</w:t>
      </w:r>
      <w:r>
        <w:rPr>
          <w:rStyle w:val="FootnoteReference"/>
          <w:rFonts w:cs="2  Mitra"/>
          <w:spacing w:val="-2"/>
          <w:sz w:val="28"/>
          <w:szCs w:val="28"/>
          <w:rtl/>
        </w:rPr>
        <w:footnoteReference w:id="2"/>
      </w:r>
    </w:p>
    <w:p w14:paraId="541BAE2D" w14:textId="77777777" w:rsidR="003B12D5" w:rsidRDefault="003B12D5" w:rsidP="003B12D5">
      <w:pPr>
        <w:widowControl w:val="0"/>
        <w:tabs>
          <w:tab w:val="num" w:pos="1440"/>
        </w:tabs>
        <w:bidi/>
        <w:spacing w:before="240" w:line="261" w:lineRule="auto"/>
        <w:ind w:firstLine="289"/>
        <w:jc w:val="both"/>
        <w:rPr>
          <w:rFonts w:cs="2  Mitra" w:hint="cs"/>
          <w:sz w:val="28"/>
          <w:szCs w:val="28"/>
          <w:rtl/>
        </w:rPr>
      </w:pPr>
      <w:r>
        <w:rPr>
          <w:rFonts w:cs="2  Mitra" w:hint="cs"/>
          <w:sz w:val="28"/>
          <w:szCs w:val="28"/>
          <w:rtl/>
        </w:rPr>
        <w:t>امّا در اشکال بر مدّعای ایشان می‌توان گفت: درست است که عدد سبب نمی‌شود معدود به نحوی لحاظ گردد که احکام متعدد به افراد متعددی تعلق بگیرند، ولی همان‌گونه که گذشت، عموم دارای اقسامی است و آنچه ایشان در تحقق عموم شرط می‌دانند، صرفاً مربوط به عام استغراقی است؛ در حالی‌که در عام مجموعی، بیش از یک حکم که به مجموع عام تعلق گرفته باشد، وجود ندارد.</w:t>
      </w:r>
    </w:p>
    <w:p w14:paraId="44F5CFAF" w14:textId="77777777" w:rsidR="003B12D5" w:rsidRDefault="003B12D5" w:rsidP="003B12D5">
      <w:pPr>
        <w:widowControl w:val="0"/>
        <w:tabs>
          <w:tab w:val="num" w:pos="1440"/>
        </w:tabs>
        <w:bidi/>
        <w:spacing w:before="240" w:line="261" w:lineRule="auto"/>
        <w:ind w:firstLine="289"/>
        <w:jc w:val="both"/>
        <w:rPr>
          <w:rFonts w:cs="2  Mitra" w:hint="cs"/>
          <w:sz w:val="28"/>
          <w:szCs w:val="28"/>
          <w:rtl/>
        </w:rPr>
      </w:pPr>
      <w:r>
        <w:rPr>
          <w:rFonts w:cs="2  Mitra" w:hint="cs"/>
          <w:sz w:val="28"/>
          <w:szCs w:val="28"/>
          <w:rtl/>
        </w:rPr>
        <w:t>بر این اساس، در مورد ورود عدد بر معدود می‌توان ادعا کرد که عدد موجب تحقق عموم مجموعی در معدود می‌شود؛ مثلاً هنگامی که گفته می‌شود: «</w:t>
      </w:r>
      <w:r>
        <w:rPr>
          <w:rFonts w:cs="Abz-2 (Badr)" w:hint="cs"/>
          <w:sz w:val="28"/>
          <w:szCs w:val="28"/>
          <w:rtl/>
        </w:rPr>
        <w:t>أکرم عشرة رجال</w:t>
      </w:r>
      <w:r>
        <w:rPr>
          <w:rFonts w:cs="2  Mitra" w:hint="cs"/>
          <w:sz w:val="28"/>
          <w:szCs w:val="28"/>
          <w:rtl/>
        </w:rPr>
        <w:t>»، مستفاد از آن این است که حکم واحدی به اکرام مجموعه‌ای مرکب از ده مرد تعلق گرفته است. بنابر این، ادعای این که عدد، از ادوات عموم به شمار آید، ادعایی گزاف نخواهد بود.</w:t>
      </w:r>
    </w:p>
    <w:p w14:paraId="252D5686" w14:textId="77777777" w:rsidR="003B12D5" w:rsidRDefault="003B12D5" w:rsidP="003B12D5">
      <w:pPr>
        <w:widowControl w:val="0"/>
        <w:tabs>
          <w:tab w:val="num" w:pos="1440"/>
        </w:tabs>
        <w:bidi/>
        <w:spacing w:before="240" w:line="261" w:lineRule="auto"/>
        <w:ind w:firstLine="289"/>
        <w:jc w:val="both"/>
        <w:rPr>
          <w:rFonts w:cs="2  Mitra" w:hint="cs"/>
          <w:sz w:val="28"/>
          <w:szCs w:val="28"/>
          <w:rtl/>
        </w:rPr>
      </w:pPr>
      <w:r>
        <w:rPr>
          <w:rFonts w:cs="2  Mitra" w:hint="cs"/>
          <w:sz w:val="28"/>
          <w:szCs w:val="28"/>
          <w:rtl/>
        </w:rPr>
        <w:lastRenderedPageBreak/>
        <w:t>ولی در اشکال بر این مدعا باید گفت: هنگامی که عدد بر معدود وارد می‌شود، ترکیبی را پدید می‌آورد که اجزای آن برخی از افراد معدود بوده و تعداد آن‌ها مساوی با خود عدد است. به بیان دیگر، عدد در مقام تحدید اجزای مرکبی است که از افراد معدود تشکیل می‌شود</w:t>
      </w:r>
      <w:r>
        <w:rPr>
          <w:rFonts w:cs="2  Mitra"/>
          <w:sz w:val="28"/>
          <w:szCs w:val="28"/>
        </w:rPr>
        <w:t>.</w:t>
      </w:r>
    </w:p>
    <w:p w14:paraId="575D2660" w14:textId="77777777" w:rsidR="003B12D5" w:rsidRDefault="003B12D5" w:rsidP="003B12D5">
      <w:pPr>
        <w:widowControl w:val="0"/>
        <w:tabs>
          <w:tab w:val="num" w:pos="1440"/>
        </w:tabs>
        <w:bidi/>
        <w:spacing w:before="240" w:line="261" w:lineRule="auto"/>
        <w:ind w:firstLine="289"/>
        <w:jc w:val="both"/>
        <w:rPr>
          <w:rFonts w:cs="2  Mitra"/>
          <w:spacing w:val="-2"/>
          <w:sz w:val="28"/>
          <w:szCs w:val="28"/>
        </w:rPr>
      </w:pPr>
      <w:r>
        <w:rPr>
          <w:rFonts w:cs="2  Mitra" w:hint="cs"/>
          <w:spacing w:val="-2"/>
          <w:sz w:val="28"/>
          <w:szCs w:val="28"/>
          <w:rtl/>
        </w:rPr>
        <w:t>بر این اساس، نمی‌توان عدد را از ادوات عموم دانست؛ زیرا عموم با تحدید منافات دارد و صرف این‌که ورود عدد مستلزم ایجاد یک ترکیب است، به معنای آن نیست که عدد افاده عموم در معدود کند. به همین دلیل، در ادواتی مانند «</w:t>
      </w:r>
      <w:r>
        <w:rPr>
          <w:rFonts w:cs="Abz-2 (Badr)" w:hint="cs"/>
          <w:spacing w:val="-2"/>
          <w:sz w:val="28"/>
          <w:szCs w:val="28"/>
          <w:rtl/>
        </w:rPr>
        <w:t>کلّ</w:t>
      </w:r>
      <w:r>
        <w:rPr>
          <w:rFonts w:cs="2  Mitra" w:hint="cs"/>
          <w:spacing w:val="-2"/>
          <w:sz w:val="28"/>
          <w:szCs w:val="28"/>
          <w:rtl/>
        </w:rPr>
        <w:t>»، «</w:t>
      </w:r>
      <w:r>
        <w:rPr>
          <w:rFonts w:cs="Abz-2 (Badr)" w:hint="cs"/>
          <w:spacing w:val="-2"/>
          <w:sz w:val="28"/>
          <w:szCs w:val="28"/>
          <w:rtl/>
        </w:rPr>
        <w:t>مجموع</w:t>
      </w:r>
      <w:r>
        <w:rPr>
          <w:rFonts w:cs="2  Mitra" w:hint="cs"/>
          <w:spacing w:val="-2"/>
          <w:sz w:val="28"/>
          <w:szCs w:val="28"/>
          <w:rtl/>
        </w:rPr>
        <w:t>» و «</w:t>
      </w:r>
      <w:r>
        <w:rPr>
          <w:rFonts w:cs="Abz-2 (Badr)" w:hint="cs"/>
          <w:spacing w:val="-2"/>
          <w:sz w:val="28"/>
          <w:szCs w:val="28"/>
          <w:rtl/>
        </w:rPr>
        <w:t>أيّ</w:t>
      </w:r>
      <w:r>
        <w:rPr>
          <w:rFonts w:cs="2  Mitra" w:hint="cs"/>
          <w:spacing w:val="-2"/>
          <w:sz w:val="28"/>
          <w:szCs w:val="28"/>
          <w:rtl/>
        </w:rPr>
        <w:t>»، هیچ‌گونه تحدیدی نسبت به مدخول آنها وجود ندارد، بلکه این ادوات موجب شمول مدخول خود می‌گردند.</w:t>
      </w:r>
    </w:p>
    <w:p w14:paraId="2B960698" w14:textId="77777777" w:rsidR="003B12D5" w:rsidRDefault="003B12D5" w:rsidP="003B12D5">
      <w:pPr>
        <w:widowControl w:val="0"/>
        <w:tabs>
          <w:tab w:val="num" w:pos="1440"/>
        </w:tabs>
        <w:bidi/>
        <w:spacing w:before="240" w:line="261" w:lineRule="auto"/>
        <w:ind w:firstLine="289"/>
        <w:jc w:val="both"/>
        <w:rPr>
          <w:rFonts w:cs="2  Mitra"/>
          <w:sz w:val="28"/>
          <w:szCs w:val="28"/>
        </w:rPr>
      </w:pPr>
      <w:r>
        <w:rPr>
          <w:rFonts w:cs="2  Mitra" w:hint="cs"/>
          <w:sz w:val="28"/>
          <w:szCs w:val="28"/>
          <w:rtl/>
        </w:rPr>
        <w:t>اختیار مکلّف در این که ترکیب حاصل از ورود عدد را با هر مصداقی که بخواهد ایجاد کند نيز ارتباطی با عموم ندارد؛ بلکه همان‌گونه که مرحوم آیت‌الله خویی تصریح کرده‌اند، این مطلب مستفاد از اطلاق کلام است.</w:t>
      </w:r>
    </w:p>
    <w:p w14:paraId="3587C744" w14:textId="77777777" w:rsidR="003B12D5" w:rsidRDefault="003B12D5" w:rsidP="003B12D5">
      <w:pPr>
        <w:widowControl w:val="0"/>
        <w:tabs>
          <w:tab w:val="num" w:pos="1440"/>
        </w:tabs>
        <w:bidi/>
        <w:spacing w:before="240" w:line="261" w:lineRule="auto"/>
        <w:ind w:firstLine="289"/>
        <w:jc w:val="both"/>
        <w:rPr>
          <w:rFonts w:cs="2  Mitra" w:hint="cs"/>
          <w:sz w:val="28"/>
          <w:szCs w:val="28"/>
          <w:rtl/>
        </w:rPr>
      </w:pPr>
      <w:r>
        <w:rPr>
          <w:rFonts w:cs="2  Mitra" w:hint="cs"/>
          <w:sz w:val="28"/>
          <w:szCs w:val="28"/>
          <w:rtl/>
        </w:rPr>
        <w:t>و همان گونه که مرحوم شهيد صدر فرموده</w:t>
      </w:r>
      <w:r>
        <w:rPr>
          <w:rFonts w:cs="2  Mitra" w:hint="cs"/>
          <w:sz w:val="28"/>
          <w:szCs w:val="28"/>
          <w:rtl/>
        </w:rPr>
        <w:softHyphen/>
        <w:t>اند</w:t>
      </w:r>
      <w:r>
        <w:rPr>
          <w:rStyle w:val="FootnoteReference"/>
          <w:rFonts w:cs="2  Mitra"/>
          <w:spacing w:val="-2"/>
          <w:sz w:val="28"/>
          <w:szCs w:val="28"/>
          <w:rtl/>
        </w:rPr>
        <w:footnoteReference w:id="3"/>
      </w:r>
      <w:r>
        <w:rPr>
          <w:rFonts w:cs="2  Mitra" w:hint="cs"/>
          <w:sz w:val="28"/>
          <w:szCs w:val="28"/>
          <w:rtl/>
        </w:rPr>
        <w:t>، مؤیّد این‌که ورود عدد بر معدود افاده عموم نمی‌کند، آن است که ادوات عموم می‌توانند بر ترکیب مشتمل بر عدد وارد شوند؛ مثلاً گفته می‌شود: «</w:t>
      </w:r>
      <w:r>
        <w:rPr>
          <w:rFonts w:cs="Abz-2 (Badr)" w:hint="cs"/>
          <w:sz w:val="28"/>
          <w:szCs w:val="28"/>
          <w:rtl/>
        </w:rPr>
        <w:t>أکرم کلّ عشرة رجال دفعة واحدة</w:t>
      </w:r>
      <w:r>
        <w:rPr>
          <w:rFonts w:cs="2  Mitra" w:hint="cs"/>
          <w:sz w:val="28"/>
          <w:szCs w:val="28"/>
          <w:rtl/>
        </w:rPr>
        <w:t>». در حالی که روشن است که اگر خود عدد افاده عموم می‌کرد، امکان ورود ادوات عموم بر این ترکیب وجود نداشت.</w:t>
      </w:r>
    </w:p>
    <w:p w14:paraId="34F45192" w14:textId="77777777" w:rsidR="003B12D5" w:rsidRDefault="003B12D5" w:rsidP="003B12D5">
      <w:pPr>
        <w:widowControl w:val="0"/>
        <w:tabs>
          <w:tab w:val="num" w:pos="1440"/>
        </w:tabs>
        <w:bidi/>
        <w:spacing w:before="240" w:line="261" w:lineRule="auto"/>
        <w:ind w:firstLine="289"/>
        <w:jc w:val="both"/>
        <w:rPr>
          <w:rFonts w:cs="2  Mitra" w:hint="cs"/>
          <w:sz w:val="28"/>
          <w:szCs w:val="28"/>
          <w:rtl/>
        </w:rPr>
      </w:pPr>
      <w:r>
        <w:rPr>
          <w:rFonts w:cs="2  Mitra" w:hint="cs"/>
          <w:sz w:val="28"/>
          <w:szCs w:val="28"/>
          <w:rtl/>
        </w:rPr>
        <w:t>مگر اين که گفته شود: ورود لفظی مثل: «کلّ» بر سر چنين ترکيبی می</w:t>
      </w:r>
      <w:r>
        <w:rPr>
          <w:rFonts w:cs="2  Mitra" w:hint="cs"/>
          <w:sz w:val="28"/>
          <w:szCs w:val="28"/>
          <w:rtl/>
        </w:rPr>
        <w:softHyphen/>
        <w:t>تواند از باب تأکيد باشد و لزوماً به اين معنا نيست که عدد از الفاظ عموم نيست.</w:t>
      </w:r>
    </w:p>
    <w:p w14:paraId="1BEA2E06" w14:textId="77777777" w:rsidR="003B12D5" w:rsidRDefault="003B12D5" w:rsidP="003B12D5">
      <w:pPr>
        <w:widowControl w:val="0"/>
        <w:tabs>
          <w:tab w:val="num" w:pos="1440"/>
        </w:tabs>
        <w:bidi/>
        <w:spacing w:before="240" w:line="261" w:lineRule="auto"/>
        <w:ind w:firstLine="289"/>
        <w:jc w:val="both"/>
        <w:rPr>
          <w:rFonts w:cs="2  Mitra" w:hint="cs"/>
          <w:sz w:val="28"/>
          <w:szCs w:val="28"/>
          <w:rtl/>
        </w:rPr>
      </w:pPr>
      <w:r>
        <w:rPr>
          <w:rFonts w:cs="2  Mitra" w:hint="cs"/>
          <w:sz w:val="28"/>
          <w:szCs w:val="28"/>
          <w:rtl/>
        </w:rPr>
        <w:t>و در هر حال با توجه به آنچه گفتيم اشکالی در اين که عدد از ادات عموم نيست، وجود ندارد.</w:t>
      </w:r>
    </w:p>
    <w:p w14:paraId="01F469CF" w14:textId="77777777" w:rsidR="003B12D5" w:rsidRDefault="003B12D5" w:rsidP="003B12D5">
      <w:pPr>
        <w:widowControl w:val="0"/>
        <w:bidi/>
        <w:spacing w:before="240" w:line="261" w:lineRule="auto"/>
        <w:ind w:firstLine="289"/>
        <w:jc w:val="both"/>
        <w:rPr>
          <w:rFonts w:ascii="Amiri" w:hAnsi="Amiri" w:cs="Amiri" w:hint="cs"/>
          <w:b/>
          <w:bCs/>
          <w:sz w:val="26"/>
          <w:szCs w:val="26"/>
          <w:rtl/>
        </w:rPr>
      </w:pPr>
      <w:r>
        <w:rPr>
          <w:rFonts w:ascii="Amiri" w:hAnsi="Amiri" w:cs="Amiri"/>
          <w:b/>
          <w:bCs/>
          <w:sz w:val="26"/>
          <w:szCs w:val="26"/>
          <w:rtl/>
        </w:rPr>
        <w:t>مقدمه چهارم: صيغه</w:t>
      </w:r>
      <w:r>
        <w:rPr>
          <w:rFonts w:ascii="Amiri" w:hAnsi="Amiri" w:cs="Amiri"/>
          <w:b/>
          <w:bCs/>
          <w:sz w:val="26"/>
          <w:szCs w:val="26"/>
          <w:rtl/>
        </w:rPr>
        <w:softHyphen/>
        <w:t>های عموم</w:t>
      </w:r>
    </w:p>
    <w:p w14:paraId="188BE492" w14:textId="77777777" w:rsidR="003B12D5" w:rsidRDefault="003B12D5" w:rsidP="003B12D5">
      <w:pPr>
        <w:widowControl w:val="0"/>
        <w:tabs>
          <w:tab w:val="num" w:pos="1440"/>
        </w:tabs>
        <w:bidi/>
        <w:spacing w:before="240" w:line="261" w:lineRule="auto"/>
        <w:ind w:firstLine="289"/>
        <w:jc w:val="both"/>
        <w:rPr>
          <w:rFonts w:cs="2  Mitra"/>
          <w:sz w:val="28"/>
          <w:szCs w:val="28"/>
          <w:rtl/>
        </w:rPr>
      </w:pPr>
      <w:r>
        <w:rPr>
          <w:rFonts w:cs="2  Mitra" w:hint="cs"/>
          <w:sz w:val="28"/>
          <w:szCs w:val="28"/>
          <w:rtl/>
        </w:rPr>
        <w:t>آیا عموم صیغه‌ای دارد که بر اساس آن، ادعای ظهور کلام در عموم شود؟</w:t>
      </w:r>
    </w:p>
    <w:p w14:paraId="49CC7BA0" w14:textId="77777777" w:rsidR="003B12D5" w:rsidRDefault="003B12D5" w:rsidP="003B12D5">
      <w:pPr>
        <w:widowControl w:val="0"/>
        <w:tabs>
          <w:tab w:val="num" w:pos="1440"/>
        </w:tabs>
        <w:bidi/>
        <w:spacing w:before="240" w:line="261" w:lineRule="auto"/>
        <w:ind w:firstLine="289"/>
        <w:jc w:val="both"/>
        <w:rPr>
          <w:rFonts w:cs="2  Mitra" w:hint="cs"/>
          <w:spacing w:val="-4"/>
          <w:sz w:val="28"/>
          <w:szCs w:val="28"/>
          <w:rtl/>
        </w:rPr>
      </w:pPr>
      <w:r>
        <w:rPr>
          <w:rFonts w:cs="2  Mitra" w:hint="cs"/>
          <w:spacing w:val="-4"/>
          <w:sz w:val="28"/>
          <w:szCs w:val="28"/>
          <w:rtl/>
        </w:rPr>
        <w:t xml:space="preserve">مرحوم آخوند بر این باور است که همان گونه که برای خصوص، صیغه‌ای ویژه وجود دارد، برای عموم نیز صیغه‌ای مخصوص هست؛ مانند «کلّ» که وضعاً اختصاص به دلالت بر عموم دارد و دلالت بر خصوص نمی‌کند، هرچند ممکن است به طور مجازی و </w:t>
      </w:r>
      <w:r>
        <w:rPr>
          <w:rFonts w:cs="2  Mitra" w:hint="cs"/>
          <w:spacing w:val="-4"/>
          <w:sz w:val="28"/>
          <w:szCs w:val="28"/>
          <w:rtl/>
        </w:rPr>
        <w:lastRenderedPageBreak/>
        <w:t>به واسطه عنايتی همچون ادعای عموم یا به سبب رابطه عموم و خصوص، در معنای خصوص استعمال گردد.</w:t>
      </w:r>
    </w:p>
    <w:p w14:paraId="44AF77A6" w14:textId="77777777" w:rsidR="003B12D5" w:rsidRDefault="003B12D5" w:rsidP="003B12D5">
      <w:pPr>
        <w:widowControl w:val="0"/>
        <w:tabs>
          <w:tab w:val="num" w:pos="1440"/>
        </w:tabs>
        <w:bidi/>
        <w:spacing w:before="240" w:line="252" w:lineRule="auto"/>
        <w:ind w:firstLine="289"/>
        <w:jc w:val="both"/>
        <w:rPr>
          <w:rFonts w:cs="2  Mitra" w:hint="cs"/>
          <w:sz w:val="28"/>
          <w:szCs w:val="28"/>
          <w:rtl/>
        </w:rPr>
      </w:pPr>
      <w:r>
        <w:rPr>
          <w:rFonts w:cs="2  Mitra" w:hint="cs"/>
          <w:sz w:val="28"/>
          <w:szCs w:val="28"/>
          <w:rtl/>
        </w:rPr>
        <w:t>بنابر این اشکالاتی نظیر اولویت داشتن معنای متیقّن ـ به اعتبار یقین به اراده خصوص در ضمن عموم ـ یا شایع بودن تخصیص در الفاظ عموم، موجب خروج لفظ از حقیقت در معنای عموم نمی‌شود؛ زیرا اولاً: یقین به اراده خصوص نيز سبب اختصاص وضع به آن نیست، و ثانیاً: عموم نیز در موارد بسیاری اراده می‌گردد.</w:t>
      </w:r>
    </w:p>
    <w:p w14:paraId="1A8E02EF" w14:textId="77777777" w:rsidR="003B12D5" w:rsidRDefault="003B12D5" w:rsidP="003B12D5">
      <w:pPr>
        <w:widowControl w:val="0"/>
        <w:tabs>
          <w:tab w:val="num" w:pos="1440"/>
        </w:tabs>
        <w:bidi/>
        <w:spacing w:before="240" w:line="252" w:lineRule="auto"/>
        <w:ind w:firstLine="289"/>
        <w:jc w:val="both"/>
        <w:rPr>
          <w:rFonts w:cs="2  Mitra" w:hint="cs"/>
          <w:sz w:val="28"/>
          <w:szCs w:val="28"/>
          <w:rtl/>
          <w:lang w:bidi="fa-IR"/>
        </w:rPr>
      </w:pPr>
      <w:r>
        <w:rPr>
          <w:rFonts w:cs="2  Mitra" w:hint="cs"/>
          <w:sz w:val="28"/>
          <w:szCs w:val="28"/>
          <w:rtl/>
        </w:rPr>
        <w:t>افزون بر این، کثرت تخصیص ملازمه‌ای با کثرت استعمال مجازی ندارد. بلکه حتی در فرض پذیرش این ملازمه نيز مادامی که استعمال مجازی همراه با قرینه باشد، هیچ محذوری نخواهد داشت.</w:t>
      </w:r>
      <w:r>
        <w:rPr>
          <w:rStyle w:val="FootnoteReference"/>
          <w:rFonts w:cs="2  Mitra"/>
          <w:spacing w:val="-2"/>
          <w:sz w:val="28"/>
          <w:szCs w:val="28"/>
          <w:rtl/>
        </w:rPr>
        <w:footnoteReference w:id="4"/>
      </w:r>
    </w:p>
    <w:p w14:paraId="55134651" w14:textId="77777777" w:rsidR="003B12D5" w:rsidRDefault="003B12D5" w:rsidP="003B12D5">
      <w:pPr>
        <w:widowControl w:val="0"/>
        <w:tabs>
          <w:tab w:val="num" w:pos="1440"/>
        </w:tabs>
        <w:bidi/>
        <w:spacing w:before="240" w:line="252" w:lineRule="auto"/>
        <w:ind w:firstLine="289"/>
        <w:jc w:val="both"/>
        <w:rPr>
          <w:rFonts w:cs="2  Mitra"/>
          <w:sz w:val="28"/>
          <w:szCs w:val="28"/>
        </w:rPr>
      </w:pPr>
      <w:r>
        <w:rPr>
          <w:rFonts w:cs="2  Mitra" w:hint="cs"/>
          <w:sz w:val="28"/>
          <w:szCs w:val="28"/>
          <w:rtl/>
        </w:rPr>
        <w:t>مرحوم آیت‌الله خویی نيز  مطالبی در اين خصوص فرموده</w:t>
      </w:r>
      <w:r>
        <w:rPr>
          <w:rFonts w:cs="2  Mitra" w:hint="cs"/>
          <w:sz w:val="28"/>
          <w:szCs w:val="28"/>
          <w:rtl/>
        </w:rPr>
        <w:softHyphen/>
        <w:t>اند که جلسه آينده آنها را بررسی خواهيم کرد ان شاء الله.</w:t>
      </w:r>
    </w:p>
    <w:p w14:paraId="5F7D73CE" w14:textId="77777777" w:rsidR="003B12D5" w:rsidRDefault="003B12D5" w:rsidP="003B12D5">
      <w:pPr>
        <w:rPr>
          <w:rFonts w:cs="2  Mitra" w:hint="cs"/>
          <w:sz w:val="28"/>
          <w:szCs w:val="28"/>
          <w:rtl/>
        </w:rPr>
      </w:pPr>
      <w:r>
        <w:rPr>
          <w:rFonts w:cs="2  Mitra" w:hint="cs"/>
          <w:sz w:val="28"/>
          <w:szCs w:val="28"/>
          <w:rtl/>
        </w:rPr>
        <w:br w:type="page"/>
      </w:r>
    </w:p>
    <w:p w14:paraId="6AD092A1" w14:textId="77777777" w:rsidR="003B12D5" w:rsidRDefault="003B12D5" w:rsidP="003B12D5">
      <w:pPr>
        <w:widowControl w:val="0"/>
        <w:tabs>
          <w:tab w:val="num" w:pos="1440"/>
        </w:tabs>
        <w:bidi/>
        <w:spacing w:after="0"/>
        <w:ind w:firstLine="284"/>
        <w:jc w:val="both"/>
        <w:rPr>
          <w:rFonts w:cs="Abz-2 (Badr)" w:hint="cs"/>
          <w:sz w:val="28"/>
          <w:szCs w:val="28"/>
          <w:rtl/>
          <w:lang w:bidi="fa-IR"/>
        </w:rPr>
      </w:pPr>
      <w:r>
        <w:rPr>
          <w:rFonts w:cs="Abz-2 (Badr)" w:hint="cs"/>
          <w:sz w:val="28"/>
          <w:szCs w:val="28"/>
          <w:rtl/>
        </w:rPr>
        <w:lastRenderedPageBreak/>
        <w:t>كنّا قد ذكرنا أنّ العدد في نفسه لا يفيد العموم</w:t>
      </w:r>
      <w:r>
        <w:rPr>
          <w:rFonts w:cs="Abz-2 (Badr)" w:hint="cs"/>
          <w:sz w:val="28"/>
          <w:szCs w:val="28"/>
          <w:rtl/>
          <w:lang w:bidi="fa-IR"/>
        </w:rPr>
        <w:t>.</w:t>
      </w:r>
    </w:p>
    <w:p w14:paraId="5E9620CC" w14:textId="77777777" w:rsidR="003B12D5" w:rsidRDefault="003B12D5" w:rsidP="003B12D5">
      <w:pPr>
        <w:widowControl w:val="0"/>
        <w:tabs>
          <w:tab w:val="num" w:pos="1440"/>
        </w:tabs>
        <w:bidi/>
        <w:spacing w:after="0"/>
        <w:ind w:firstLine="284"/>
        <w:jc w:val="both"/>
        <w:rPr>
          <w:rFonts w:cs="Abz-2 (Badr)"/>
          <w:sz w:val="28"/>
          <w:szCs w:val="28"/>
          <w:lang w:bidi="fa-IR"/>
        </w:rPr>
      </w:pPr>
      <w:bookmarkStart w:id="1" w:name="_Hlk211463233"/>
      <w:r>
        <w:rPr>
          <w:rFonts w:cs="Abz-2 (Badr)" w:hint="cs"/>
          <w:sz w:val="28"/>
          <w:szCs w:val="28"/>
          <w:rtl/>
        </w:rPr>
        <w:t>أمّا إذا ورد العدد على معدود ـ كما في قولنا: «عشرة رجال» ـ فهل يمكن حينئذٍ القول بأنّ المعدود يصبح ذا عموم؟ وبعبارة أُخرى: هل تعدّ الأعداد من أدوات العموم؟</w:t>
      </w:r>
    </w:p>
    <w:p w14:paraId="40752B1E" w14:textId="77777777" w:rsidR="003B12D5" w:rsidRDefault="003B12D5" w:rsidP="003B12D5">
      <w:pPr>
        <w:widowControl w:val="0"/>
        <w:tabs>
          <w:tab w:val="num" w:pos="1440"/>
        </w:tabs>
        <w:bidi/>
        <w:spacing w:after="0"/>
        <w:ind w:firstLine="284"/>
        <w:jc w:val="both"/>
        <w:rPr>
          <w:rFonts w:cs="Abz-2 (Badr)"/>
          <w:sz w:val="28"/>
          <w:szCs w:val="28"/>
        </w:rPr>
      </w:pPr>
      <w:r>
        <w:rPr>
          <w:rFonts w:cs="Abz-2 (Badr)" w:hint="cs"/>
          <w:sz w:val="28"/>
          <w:szCs w:val="28"/>
          <w:rtl/>
        </w:rPr>
        <w:t>وقد صرّح السيّد الخوئي في هذا المقام بأنّ العدد في تراكيب من قبيل: «أكرم عشرة رجال» لا يدلّ على سراية الحكم إلى كلّ واحد من مصاديق المعدود، بل إنّه بمقتضى الإطلاق وتماميّة مقدّمات الحكمة يوجب تخيير المكلّف في تعيين مصاديق «عشرة رجال».</w:t>
      </w:r>
    </w:p>
    <w:p w14:paraId="6A040526" w14:textId="77777777" w:rsidR="003B12D5" w:rsidRDefault="003B12D5" w:rsidP="003B12D5">
      <w:pPr>
        <w:widowControl w:val="0"/>
        <w:tabs>
          <w:tab w:val="num" w:pos="1440"/>
        </w:tabs>
        <w:bidi/>
        <w:spacing w:after="0"/>
        <w:ind w:firstLine="284"/>
        <w:jc w:val="both"/>
        <w:rPr>
          <w:rFonts w:cs="Abz-2 (Badr)" w:hint="cs"/>
          <w:sz w:val="28"/>
          <w:szCs w:val="28"/>
          <w:rtl/>
        </w:rPr>
      </w:pPr>
      <w:r>
        <w:rPr>
          <w:rFonts w:cs="Abz-2 (Badr)" w:hint="cs"/>
          <w:sz w:val="28"/>
          <w:szCs w:val="28"/>
          <w:rtl/>
        </w:rPr>
        <w:t>وأمّا سراية الحكم إلى آحاد المعدود فهي من قبيل تعلّق الأحكام الضمنيّة بأجزاء مركّب کان موضوعاً لحکم وحداني، لا من قبيل تعلّق أحكام متعدّدة مستقلّة بأفراد متعدّدة كي يعدّ من سنخ دلالة العامّ على عموم أفراده.</w:t>
      </w:r>
      <w:r>
        <w:rPr>
          <w:rStyle w:val="FootnoteReference"/>
          <w:rFonts w:cs="Abz-2 (Badr)"/>
          <w:spacing w:val="-2"/>
          <w:sz w:val="28"/>
          <w:szCs w:val="28"/>
          <w:rtl/>
        </w:rPr>
        <w:footnoteReference w:id="5"/>
      </w:r>
    </w:p>
    <w:p w14:paraId="3746682F" w14:textId="77777777" w:rsidR="003B12D5" w:rsidRDefault="003B12D5" w:rsidP="003B12D5">
      <w:pPr>
        <w:widowControl w:val="0"/>
        <w:tabs>
          <w:tab w:val="num" w:pos="1440"/>
        </w:tabs>
        <w:bidi/>
        <w:spacing w:after="0"/>
        <w:ind w:firstLine="284"/>
        <w:jc w:val="both"/>
        <w:rPr>
          <w:rFonts w:cs="Abz-2 (Badr)" w:hint="cs"/>
          <w:sz w:val="28"/>
          <w:szCs w:val="28"/>
          <w:rtl/>
        </w:rPr>
      </w:pPr>
      <w:r>
        <w:rPr>
          <w:rFonts w:cs="Abz-2 (Badr)" w:hint="cs"/>
          <w:sz w:val="28"/>
          <w:szCs w:val="28"/>
          <w:rtl/>
        </w:rPr>
        <w:t>لکنّ الإشكال على مدّعاه هو أنّه وإن لم يکن العدد موجباً للحاظ المعدود على نحو تتعدّد فيه الأحكام بتعدّد الأفراد، إلّا أنّ للعموم أقساماً متعدّدة، وما اعتبره السيّد الخوئي شرطاً في تحقّق العموم إنّما يختصّ بالعامّ الاستغراقي، في حين أنّ العامّ المجموعي لا يتضمّن أكثر من حكم واحد يتعلّق بالمرکّب الحاصل من آحاد العامّ.</w:t>
      </w:r>
    </w:p>
    <w:p w14:paraId="2317A3B3" w14:textId="77777777" w:rsidR="003B12D5" w:rsidRDefault="003B12D5" w:rsidP="003B12D5">
      <w:pPr>
        <w:widowControl w:val="0"/>
        <w:tabs>
          <w:tab w:val="num" w:pos="1440"/>
        </w:tabs>
        <w:bidi/>
        <w:spacing w:after="0"/>
        <w:ind w:firstLine="284"/>
        <w:jc w:val="both"/>
        <w:rPr>
          <w:rFonts w:cs="Abz-2 (Badr)" w:hint="cs"/>
          <w:sz w:val="28"/>
          <w:szCs w:val="28"/>
          <w:rtl/>
          <w:lang w:bidi="fa-IR"/>
        </w:rPr>
      </w:pPr>
      <w:r>
        <w:rPr>
          <w:rFonts w:cs="Abz-2 (Badr)" w:hint="cs"/>
          <w:sz w:val="28"/>
          <w:szCs w:val="28"/>
          <w:rtl/>
        </w:rPr>
        <w:t>وبناءً على ذلك يمكن القول في مورد ورود العدد على معدود: إنّ العدد يفيد تحقّق العموم المجموعي في المعدود؛ فمثلاً إذا قيل: «أكرم عشرة رجال»، فالمستفاد من هذا التعبير أنّ حكماً واحداً قد تعلّق بإكرام مجموع مؤلّف من عشرة رجال. وعليه فدعوی کون العدد من أدوات العموم لا يكون دعوى جزافيّة.</w:t>
      </w:r>
    </w:p>
    <w:p w14:paraId="5CEFCE96" w14:textId="77777777" w:rsidR="003B12D5" w:rsidRDefault="003B12D5" w:rsidP="003B12D5">
      <w:pPr>
        <w:widowControl w:val="0"/>
        <w:tabs>
          <w:tab w:val="num" w:pos="1440"/>
        </w:tabs>
        <w:bidi/>
        <w:spacing w:after="0"/>
        <w:ind w:firstLine="284"/>
        <w:jc w:val="both"/>
        <w:rPr>
          <w:rFonts w:cs="Abz-2 (Badr)"/>
          <w:sz w:val="28"/>
          <w:szCs w:val="28"/>
        </w:rPr>
      </w:pPr>
      <w:r>
        <w:rPr>
          <w:rFonts w:cs="Abz-2 (Badr)" w:hint="cs"/>
          <w:sz w:val="28"/>
          <w:szCs w:val="28"/>
          <w:rtl/>
        </w:rPr>
        <w:t>غير أنّه يشکل هذا المدّعى بأنّه عند دخول العدد على المعدود، يتشكّل تركيب تكون أجزاؤه بعض أفراد المعدود، ويكون عددها مساوياً لنفس العدد الوارد.</w:t>
      </w:r>
    </w:p>
    <w:p w14:paraId="76D5320C" w14:textId="77777777" w:rsidR="003B12D5" w:rsidRDefault="003B12D5" w:rsidP="003B12D5">
      <w:pPr>
        <w:widowControl w:val="0"/>
        <w:tabs>
          <w:tab w:val="num" w:pos="1440"/>
        </w:tabs>
        <w:bidi/>
        <w:spacing w:after="0"/>
        <w:ind w:firstLine="284"/>
        <w:jc w:val="both"/>
        <w:rPr>
          <w:rFonts w:cs="Abz-2 (Badr)" w:hint="cs"/>
          <w:sz w:val="28"/>
          <w:szCs w:val="28"/>
          <w:rtl/>
        </w:rPr>
      </w:pPr>
      <w:r>
        <w:rPr>
          <w:rFonts w:cs="Abz-2 (Badr)" w:hint="cs"/>
          <w:sz w:val="28"/>
          <w:szCs w:val="28"/>
          <w:rtl/>
        </w:rPr>
        <w:t>وبعبارة أُخرى: فإنّ العدد في مقام تحديد أجزاء مركّب يتألّف من أفراد المعدود.</w:t>
      </w:r>
    </w:p>
    <w:p w14:paraId="6BEDE33A" w14:textId="77777777" w:rsidR="003B12D5" w:rsidRDefault="003B12D5" w:rsidP="003B12D5">
      <w:pPr>
        <w:widowControl w:val="0"/>
        <w:tabs>
          <w:tab w:val="num" w:pos="1440"/>
        </w:tabs>
        <w:bidi/>
        <w:spacing w:after="0"/>
        <w:ind w:firstLine="284"/>
        <w:jc w:val="both"/>
        <w:rPr>
          <w:rFonts w:cs="Abz-2 (Badr)" w:hint="cs"/>
          <w:sz w:val="28"/>
          <w:szCs w:val="28"/>
          <w:rtl/>
        </w:rPr>
      </w:pPr>
      <w:r>
        <w:rPr>
          <w:rFonts w:cs="Abz-2 (Badr)" w:hint="cs"/>
          <w:sz w:val="28"/>
          <w:szCs w:val="28"/>
          <w:rtl/>
        </w:rPr>
        <w:t>وبناءً على ذلك لا يمكن عدّ العدد من أدوات العموم؛ لأنّ العموم ينافي التحديد کما تقدّم، ومجرّد كون دخول العدد مقتضياً لتركيب من أفراد المعدود لا يستلزم إفادة العموم في المعدود.</w:t>
      </w:r>
    </w:p>
    <w:p w14:paraId="2033256D" w14:textId="77777777" w:rsidR="003B12D5" w:rsidRDefault="003B12D5" w:rsidP="003B12D5">
      <w:pPr>
        <w:widowControl w:val="0"/>
        <w:tabs>
          <w:tab w:val="num" w:pos="1440"/>
        </w:tabs>
        <w:bidi/>
        <w:spacing w:after="0"/>
        <w:ind w:firstLine="284"/>
        <w:jc w:val="both"/>
        <w:rPr>
          <w:rFonts w:cs="Abz-2 (Badr)" w:hint="cs"/>
          <w:sz w:val="28"/>
          <w:szCs w:val="28"/>
          <w:rtl/>
        </w:rPr>
      </w:pPr>
      <w:r>
        <w:rPr>
          <w:rFonts w:cs="Abz-2 (Badr)" w:hint="cs"/>
          <w:sz w:val="28"/>
          <w:szCs w:val="28"/>
          <w:rtl/>
        </w:rPr>
        <w:t xml:space="preserve">ولهذا نجد أنّ أدوات مثل: «كلّ» و«مجموع» و«أيّ» لا تتضمّن أيّ تحديد في مدخولها، بل تفيد شمول مدخولها لآحاد </w:t>
      </w:r>
      <w:r>
        <w:rPr>
          <w:rFonts w:cs="Abz-2 (Badr)" w:hint="cs"/>
          <w:sz w:val="28"/>
          <w:szCs w:val="28"/>
          <w:rtl/>
        </w:rPr>
        <w:lastRenderedPageBreak/>
        <w:t>أفراده.</w:t>
      </w:r>
    </w:p>
    <w:p w14:paraId="652F9C17" w14:textId="77777777" w:rsidR="003B12D5" w:rsidRDefault="003B12D5" w:rsidP="003B12D5">
      <w:pPr>
        <w:widowControl w:val="0"/>
        <w:tabs>
          <w:tab w:val="num" w:pos="1440"/>
        </w:tabs>
        <w:bidi/>
        <w:spacing w:after="0"/>
        <w:ind w:firstLine="284"/>
        <w:jc w:val="both"/>
        <w:rPr>
          <w:rFonts w:cs="Abz-2 (Badr)" w:hint="cs"/>
          <w:sz w:val="28"/>
          <w:szCs w:val="28"/>
          <w:rtl/>
        </w:rPr>
      </w:pPr>
      <w:r>
        <w:rPr>
          <w:rFonts w:cs="Abz-2 (Badr)" w:hint="cs"/>
          <w:sz w:val="28"/>
          <w:szCs w:val="28"/>
          <w:rtl/>
        </w:rPr>
        <w:t>وأمّا اختيار المكلّف في إيجاد التركيب الحاصل من دخول العدد بأيّ مصداق يشاء، لا علاقة له بالعموم، بل هو ـ كما صرّح السيّد الخوئي ـ أمر مستفاد من إطلاق الكلام، لا من دلالته على العموم.</w:t>
      </w:r>
    </w:p>
    <w:p w14:paraId="6E8401DC" w14:textId="77777777" w:rsidR="003B12D5" w:rsidRDefault="003B12D5" w:rsidP="003B12D5">
      <w:pPr>
        <w:widowControl w:val="0"/>
        <w:tabs>
          <w:tab w:val="num" w:pos="1440"/>
        </w:tabs>
        <w:bidi/>
        <w:spacing w:after="0"/>
        <w:ind w:firstLine="284"/>
        <w:jc w:val="both"/>
        <w:rPr>
          <w:rFonts w:cs="Abz-2 (Badr)"/>
          <w:sz w:val="28"/>
          <w:szCs w:val="28"/>
        </w:rPr>
      </w:pPr>
      <w:r>
        <w:rPr>
          <w:rFonts w:cs="Abz-2 (Badr)" w:hint="cs"/>
          <w:sz w:val="28"/>
          <w:szCs w:val="28"/>
          <w:rtl/>
        </w:rPr>
        <w:t>ومن المؤيّدات على أنّ دخول العدد على المعدود لا يفيد عموم المدخول هو أنّه ـ وكما أفاده الشهيد الصدر</w:t>
      </w:r>
      <w:r>
        <w:rPr>
          <w:rStyle w:val="FootnoteReference"/>
          <w:rFonts w:cs="Abz-2 (Badr)"/>
          <w:spacing w:val="-2"/>
          <w:sz w:val="28"/>
          <w:szCs w:val="28"/>
          <w:rtl/>
        </w:rPr>
        <w:footnoteReference w:id="6"/>
      </w:r>
      <w:r>
        <w:rPr>
          <w:rFonts w:cs="Abz-2 (Badr)" w:hint="cs"/>
          <w:sz w:val="28"/>
          <w:szCs w:val="28"/>
          <w:rtl/>
        </w:rPr>
        <w:t xml:space="preserve"> أيضاً ـ يمکن أن ترد أدوات العموم على تركيب مشتمل على العدد، كما في قولنا: «أكرم كلّ عشرة رجال دفعة واحدة»، ومن الواضح أنّه لو كان العدد بنفسه يفيد العموم، لما صحّ دخول أدوات العموم على مثل هذا التركيب.</w:t>
      </w:r>
    </w:p>
    <w:p w14:paraId="59483727" w14:textId="77777777" w:rsidR="003B12D5" w:rsidRDefault="003B12D5" w:rsidP="003B12D5">
      <w:pPr>
        <w:widowControl w:val="0"/>
        <w:tabs>
          <w:tab w:val="num" w:pos="1440"/>
        </w:tabs>
        <w:bidi/>
        <w:spacing w:after="0"/>
        <w:ind w:firstLine="284"/>
        <w:jc w:val="both"/>
        <w:rPr>
          <w:rFonts w:ascii="Amiri" w:hAnsi="Amiri" w:cs="Abz-2 (Badr)" w:hint="cs"/>
          <w:sz w:val="28"/>
          <w:szCs w:val="28"/>
          <w:rtl/>
          <w:lang w:bidi="fa-IR"/>
        </w:rPr>
      </w:pPr>
      <w:r>
        <w:rPr>
          <w:rFonts w:ascii="Amiri" w:hAnsi="Amiri" w:cs="Abz-2 (Badr)" w:hint="cs"/>
          <w:sz w:val="28"/>
          <w:szCs w:val="28"/>
          <w:rtl/>
        </w:rPr>
        <w:t>اللهمّ إلّا أن يقال: إنّ ورود لفظ كـ «كلّ» على مثل هذا التركيب يمكن أن يكون من باب التأكيد، ولا يلزم منه أن لا يكون العدد من ألفاظ العموم.</w:t>
      </w:r>
    </w:p>
    <w:p w14:paraId="4278B21A" w14:textId="77777777" w:rsidR="003B12D5" w:rsidRDefault="003B12D5" w:rsidP="003B12D5">
      <w:pPr>
        <w:widowControl w:val="0"/>
        <w:tabs>
          <w:tab w:val="num" w:pos="1440"/>
        </w:tabs>
        <w:bidi/>
        <w:spacing w:after="0"/>
        <w:ind w:firstLine="284"/>
        <w:jc w:val="both"/>
        <w:rPr>
          <w:rFonts w:ascii="Amiri" w:hAnsi="Amiri" w:cs="Abz-2 (Badr)"/>
          <w:sz w:val="28"/>
          <w:szCs w:val="28"/>
        </w:rPr>
      </w:pPr>
      <w:r>
        <w:rPr>
          <w:rFonts w:ascii="Amiri" w:hAnsi="Amiri" w:cs="Abz-2 (Badr)" w:hint="cs"/>
          <w:sz w:val="28"/>
          <w:szCs w:val="28"/>
          <w:rtl/>
        </w:rPr>
        <w:t>وعلى كلّ حال، فبناءً على ما تقدّم، لا إشكال في أنّ العدد ليس من أدوات العموم.</w:t>
      </w:r>
    </w:p>
    <w:p w14:paraId="2B556E9B" w14:textId="77777777" w:rsidR="003B12D5" w:rsidRDefault="003B12D5" w:rsidP="003B12D5">
      <w:pPr>
        <w:widowControl w:val="0"/>
        <w:tabs>
          <w:tab w:val="num" w:pos="1440"/>
        </w:tabs>
        <w:bidi/>
        <w:spacing w:after="0"/>
        <w:ind w:firstLine="284"/>
        <w:jc w:val="both"/>
        <w:rPr>
          <w:rFonts w:ascii="Amiri" w:hAnsi="Amiri" w:cs="Amiri" w:hint="cs"/>
          <w:sz w:val="26"/>
          <w:szCs w:val="26"/>
          <w:rtl/>
          <w:lang w:bidi="fa-IR"/>
        </w:rPr>
      </w:pPr>
      <w:r>
        <w:rPr>
          <w:rFonts w:ascii="Amiri" w:hAnsi="Amiri" w:cs="Amiri"/>
          <w:sz w:val="26"/>
          <w:szCs w:val="26"/>
          <w:rtl/>
          <w:lang w:bidi="fa-IR"/>
        </w:rPr>
        <w:t>المقدّمة الرابعة: صيغ العموم</w:t>
      </w:r>
    </w:p>
    <w:p w14:paraId="0780FE03" w14:textId="77777777" w:rsidR="003B12D5" w:rsidRDefault="003B12D5" w:rsidP="003B12D5">
      <w:pPr>
        <w:widowControl w:val="0"/>
        <w:tabs>
          <w:tab w:val="num" w:pos="1440"/>
        </w:tabs>
        <w:bidi/>
        <w:spacing w:after="0"/>
        <w:ind w:firstLine="284"/>
        <w:jc w:val="both"/>
        <w:rPr>
          <w:rFonts w:ascii="Amiri" w:hAnsi="Amiri" w:cs="Abz-2 (Badr)"/>
          <w:sz w:val="28"/>
          <w:szCs w:val="28"/>
          <w:rtl/>
          <w:lang w:bidi="fa-IR"/>
        </w:rPr>
      </w:pPr>
      <w:r>
        <w:rPr>
          <w:rFonts w:ascii="Amiri" w:hAnsi="Amiri" w:cs="Abz-2 (Badr)" w:hint="cs"/>
          <w:sz w:val="28"/>
          <w:szCs w:val="28"/>
          <w:rtl/>
        </w:rPr>
        <w:t>هل للعموم صيغة خاصّة يمكن دعوى ظهور الكلام في العموم بناءً عليها؟</w:t>
      </w:r>
    </w:p>
    <w:p w14:paraId="7A9D7A6D" w14:textId="77777777" w:rsidR="003B12D5" w:rsidRDefault="003B12D5" w:rsidP="003B12D5">
      <w:pPr>
        <w:widowControl w:val="0"/>
        <w:tabs>
          <w:tab w:val="num" w:pos="1440"/>
        </w:tabs>
        <w:bidi/>
        <w:spacing w:after="0"/>
        <w:ind w:firstLine="284"/>
        <w:jc w:val="both"/>
        <w:rPr>
          <w:rFonts w:ascii="Amiri" w:hAnsi="Amiri" w:cs="Abz-2 (Badr)"/>
          <w:sz w:val="28"/>
          <w:szCs w:val="28"/>
          <w:lang w:bidi="fa-IR"/>
        </w:rPr>
      </w:pPr>
      <w:r>
        <w:rPr>
          <w:rFonts w:ascii="Amiri" w:hAnsi="Amiri" w:cs="Abz-2 (Badr)" w:hint="cs"/>
          <w:sz w:val="28"/>
          <w:szCs w:val="28"/>
          <w:rtl/>
        </w:rPr>
        <w:t>ذهب الآخوند إلى أنّه كما أنّ للخصوص صيغة خاصّة تدلّ عليه، فكذلك للعموم صيغة مخصوصة به، كلفظ «كلّ» الذي وضع للدلالة على العموم، ولا يستعمل في الخصوص إلّا على سبيل المجاز وبعناية، كادّعاء العموم أو باعتبار علاقة العموم والخصوص.</w:t>
      </w:r>
    </w:p>
    <w:p w14:paraId="066E906D" w14:textId="77777777" w:rsidR="003B12D5" w:rsidRDefault="003B12D5" w:rsidP="003B12D5">
      <w:pPr>
        <w:widowControl w:val="0"/>
        <w:tabs>
          <w:tab w:val="num" w:pos="1440"/>
        </w:tabs>
        <w:bidi/>
        <w:spacing w:after="0"/>
        <w:ind w:firstLine="284"/>
        <w:jc w:val="both"/>
        <w:rPr>
          <w:rFonts w:ascii="Amiri" w:hAnsi="Amiri" w:cs="Abz-2 (Badr)"/>
          <w:sz w:val="28"/>
          <w:szCs w:val="28"/>
          <w:lang w:bidi="fa-IR"/>
        </w:rPr>
      </w:pPr>
      <w:r>
        <w:rPr>
          <w:rFonts w:ascii="Amiri" w:hAnsi="Amiri" w:cs="Abz-2 (Badr)" w:hint="cs"/>
          <w:sz w:val="28"/>
          <w:szCs w:val="28"/>
          <w:rtl/>
        </w:rPr>
        <w:t>وعليه فما ذكر من الإشکالات ـ كدعوى أولويّة المعنى المتيقّن بحجّة العلم بإرادة الخصوص في ضمن العموم، أو شيوع التخصيص في ألفاظ العموم ـ لا يوجب خروج اللفظ عن كونه موضوعاً للعموم؛ لأنّه أوّلاً: حتّى مع فرض القطع بإرادة الخصوص، لا يقتضي ذلك اختصاص الوضع به</w:t>
      </w:r>
      <w:r>
        <w:rPr>
          <w:rFonts w:ascii="Amiri" w:hAnsi="Amiri" w:cs="Abz-2 (Badr)" w:hint="cs"/>
          <w:sz w:val="28"/>
          <w:szCs w:val="28"/>
          <w:rtl/>
          <w:lang w:bidi="fa-IR"/>
        </w:rPr>
        <w:t>؛</w:t>
      </w:r>
      <w:r>
        <w:rPr>
          <w:rFonts w:ascii="Amiri" w:hAnsi="Amiri" w:cs="Abz-2 (Badr)" w:hint="cs"/>
          <w:sz w:val="28"/>
          <w:szCs w:val="28"/>
          <w:rtl/>
        </w:rPr>
        <w:t xml:space="preserve"> وثانياً: إنّ إرادة العموم من هذه الألفاظ أيضاً واقعة في موارد كثيرة.</w:t>
      </w:r>
    </w:p>
    <w:p w14:paraId="5AA75D91" w14:textId="77777777" w:rsidR="003B12D5" w:rsidRDefault="003B12D5" w:rsidP="003B12D5">
      <w:pPr>
        <w:widowControl w:val="0"/>
        <w:tabs>
          <w:tab w:val="num" w:pos="1440"/>
        </w:tabs>
        <w:bidi/>
        <w:spacing w:after="0"/>
        <w:ind w:firstLine="284"/>
        <w:jc w:val="both"/>
        <w:rPr>
          <w:rFonts w:ascii="Amiri" w:hAnsi="Amiri" w:cs="Abz-2 (Badr)"/>
          <w:sz w:val="28"/>
          <w:szCs w:val="28"/>
        </w:rPr>
      </w:pPr>
      <w:r>
        <w:rPr>
          <w:rFonts w:ascii="Amiri" w:hAnsi="Amiri" w:cs="Abz-2 (Badr)" w:hint="cs"/>
          <w:sz w:val="28"/>
          <w:szCs w:val="28"/>
          <w:rtl/>
        </w:rPr>
        <w:t>مضافاً إلى أنّ كثرة التخصيص لا تلازم كثرة الاستعمال المجازي. ولو سلّمت هذه الملازمة، فإنّ الاستعمال المجازي مع القرينة لا يضرّ بظهور هذه الألفاظ في العموم.</w:t>
      </w:r>
      <w:r>
        <w:rPr>
          <w:rStyle w:val="FootnoteReference"/>
          <w:rFonts w:cs="Abz-2 (Badr)"/>
          <w:spacing w:val="-2"/>
          <w:sz w:val="28"/>
          <w:szCs w:val="28"/>
          <w:rtl/>
        </w:rPr>
        <w:footnoteReference w:id="7"/>
      </w:r>
    </w:p>
    <w:bookmarkEnd w:id="1"/>
    <w:p w14:paraId="61BD77D0" w14:textId="77777777" w:rsidR="003B12D5" w:rsidRDefault="003B12D5" w:rsidP="003B12D5">
      <w:pPr>
        <w:widowControl w:val="0"/>
        <w:tabs>
          <w:tab w:val="num" w:pos="1440"/>
        </w:tabs>
        <w:bidi/>
        <w:spacing w:after="0"/>
        <w:ind w:firstLine="284"/>
        <w:jc w:val="both"/>
        <w:rPr>
          <w:rFonts w:ascii="Amiri" w:hAnsi="Amiri" w:cs="Abz-2 (Badr)"/>
          <w:sz w:val="28"/>
          <w:szCs w:val="28"/>
          <w:lang w:bidi="fa-IR"/>
        </w:rPr>
      </w:pPr>
      <w:r>
        <w:rPr>
          <w:rFonts w:ascii="Amiri" w:hAnsi="Amiri" w:cs="Abz-2 (Badr)" w:hint="cs"/>
          <w:sz w:val="28"/>
          <w:szCs w:val="28"/>
          <w:rtl/>
        </w:rPr>
        <w:lastRenderedPageBreak/>
        <w:t>هذا؛ وسيأتي في الجلسة القادمة إن شاء الله تعالى ما أفاده السيّد الخوئي في هذا الباب.</w:t>
      </w:r>
    </w:p>
    <w:p w14:paraId="3CAA553B" w14:textId="77777777" w:rsidR="003B12D5" w:rsidRDefault="003B12D5" w:rsidP="003B12D5">
      <w:pPr>
        <w:widowControl w:val="0"/>
        <w:tabs>
          <w:tab w:val="num" w:pos="1440"/>
        </w:tabs>
        <w:bidi/>
        <w:spacing w:after="0"/>
        <w:ind w:firstLine="284"/>
        <w:jc w:val="both"/>
        <w:rPr>
          <w:rFonts w:ascii="Amiri" w:hAnsi="Amiri" w:cs="Abz-2 (Badr)"/>
          <w:sz w:val="28"/>
          <w:szCs w:val="28"/>
          <w:lang w:bidi="fa-IR"/>
        </w:rPr>
      </w:pPr>
    </w:p>
    <w:p w14:paraId="6D949D22" w14:textId="77777777" w:rsidR="003B12D5" w:rsidRDefault="003B12D5" w:rsidP="003B12D5">
      <w:pPr>
        <w:widowControl w:val="0"/>
        <w:tabs>
          <w:tab w:val="num" w:pos="1440"/>
        </w:tabs>
        <w:bidi/>
        <w:spacing w:after="0"/>
        <w:ind w:firstLine="284"/>
        <w:jc w:val="both"/>
        <w:rPr>
          <w:rFonts w:ascii="Amiri" w:hAnsi="Amiri" w:cs="Abz-2 (Badr)"/>
          <w:sz w:val="26"/>
          <w:szCs w:val="26"/>
          <w:lang w:bidi="fa-IR"/>
        </w:rPr>
      </w:pPr>
    </w:p>
    <w:p w14:paraId="7D9979DE" w14:textId="26D41A3F" w:rsidR="001B24FC" w:rsidRPr="003B12D5" w:rsidRDefault="001B24FC" w:rsidP="003B12D5">
      <w:pPr>
        <w:rPr>
          <w:rtl/>
        </w:rPr>
      </w:pPr>
    </w:p>
    <w:sectPr w:rsidR="001B24FC" w:rsidRPr="003B12D5"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7FEED" w14:textId="77777777" w:rsidR="000E26D6" w:rsidRDefault="000E26D6" w:rsidP="00C336C5">
      <w:pPr>
        <w:spacing w:after="0" w:line="240" w:lineRule="auto"/>
      </w:pPr>
      <w:r>
        <w:separator/>
      </w:r>
    </w:p>
  </w:endnote>
  <w:endnote w:type="continuationSeparator" w:id="0">
    <w:p w14:paraId="7A901BCA" w14:textId="77777777" w:rsidR="000E26D6" w:rsidRDefault="000E26D6" w:rsidP="00C336C5">
      <w:pPr>
        <w:spacing w:after="0" w:line="240" w:lineRule="auto"/>
      </w:pPr>
      <w:r>
        <w:continuationSeparator/>
      </w:r>
    </w:p>
  </w:endnote>
  <w:endnote w:type="continuationNotice" w:id="1">
    <w:p w14:paraId="2B474391" w14:textId="77777777" w:rsidR="000E26D6" w:rsidRDefault="000E26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Amiri">
    <w:panose1 w:val="00000500000000000000"/>
    <w:charset w:val="00"/>
    <w:family w:val="auto"/>
    <w:pitch w:val="variable"/>
    <w:sig w:usb0="A000206F" w:usb1="82002043" w:usb2="00000008" w:usb3="00000000" w:csb0="000000D3"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073DB" w14:textId="77777777" w:rsidR="00A43AD0" w:rsidRDefault="00A43A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200BD" w14:textId="77777777" w:rsidR="00A43AD0" w:rsidRDefault="00A43A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6FDE7" w14:textId="77777777" w:rsidR="000E26D6" w:rsidRDefault="000E26D6" w:rsidP="00C336C5">
      <w:pPr>
        <w:bidi/>
        <w:spacing w:after="0" w:line="240" w:lineRule="auto"/>
      </w:pPr>
      <w:r>
        <w:separator/>
      </w:r>
    </w:p>
  </w:footnote>
  <w:footnote w:type="continuationSeparator" w:id="0">
    <w:p w14:paraId="0464E008" w14:textId="77777777" w:rsidR="000E26D6" w:rsidRDefault="000E26D6" w:rsidP="00C336C5">
      <w:pPr>
        <w:spacing w:after="0" w:line="240" w:lineRule="auto"/>
      </w:pPr>
      <w:r>
        <w:continuationSeparator/>
      </w:r>
    </w:p>
  </w:footnote>
  <w:footnote w:type="continuationNotice" w:id="1">
    <w:p w14:paraId="0A4AA183" w14:textId="77777777" w:rsidR="000E26D6" w:rsidRDefault="000E26D6">
      <w:pPr>
        <w:spacing w:after="0" w:line="240" w:lineRule="auto"/>
      </w:pPr>
    </w:p>
  </w:footnote>
  <w:footnote w:id="2">
    <w:p w14:paraId="795D2659" w14:textId="77777777" w:rsidR="003B12D5" w:rsidRDefault="003B12D5" w:rsidP="003B12D5">
      <w:pPr>
        <w:pStyle w:val="FootnoteText"/>
        <w:bidi/>
        <w:jc w:val="left"/>
        <w:rPr>
          <w:rFonts w:cs="Abz-2 (Badr)" w:hint="cs"/>
          <w:rtl/>
          <w:lang w:bidi="fa-IR"/>
        </w:rPr>
      </w:pPr>
      <w:r>
        <w:rPr>
          <w:rFonts w:cs="Abz-2 (Badr)"/>
          <w:lang w:bidi="fa-IR"/>
        </w:rPr>
        <w:footnoteRef/>
      </w:r>
      <w:r>
        <w:rPr>
          <w:rFonts w:cs="Abz-2 (Badr)" w:hint="cs"/>
          <w:rtl/>
          <w:lang w:bidi="fa-IR"/>
        </w:rPr>
        <w:t xml:space="preserve"> ـ راجع: محاضرات في أُصول الفقه،ج4،ص301 و 302.</w:t>
      </w:r>
    </w:p>
  </w:footnote>
  <w:footnote w:id="3">
    <w:p w14:paraId="05950E0F" w14:textId="77777777" w:rsidR="003B12D5" w:rsidRDefault="003B12D5" w:rsidP="003B12D5">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بحوث في علم الأُصول،ج3،ص225.</w:t>
      </w:r>
    </w:p>
  </w:footnote>
  <w:footnote w:id="4">
    <w:p w14:paraId="42491450" w14:textId="77777777" w:rsidR="003B12D5" w:rsidRDefault="003B12D5" w:rsidP="003B12D5">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کفاية الأُصول،ص216 و 217.</w:t>
      </w:r>
    </w:p>
  </w:footnote>
  <w:footnote w:id="5">
    <w:p w14:paraId="089D2A1E" w14:textId="77777777" w:rsidR="003B12D5" w:rsidRDefault="003B12D5" w:rsidP="003B12D5">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محاضرات في أُصول الفقه،ج4،ص301 و 302.</w:t>
      </w:r>
    </w:p>
  </w:footnote>
  <w:footnote w:id="6">
    <w:p w14:paraId="10656757" w14:textId="77777777" w:rsidR="003B12D5" w:rsidRDefault="003B12D5" w:rsidP="003B12D5">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بحوث في علم الأُصول،ج3،ص225.</w:t>
      </w:r>
    </w:p>
  </w:footnote>
  <w:footnote w:id="7">
    <w:p w14:paraId="1D3A2F0D" w14:textId="77777777" w:rsidR="003B12D5" w:rsidRDefault="003B12D5" w:rsidP="003B12D5">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کفاية الأُصول،ص216 و 217.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A1E8D" w14:textId="77777777" w:rsidR="00A43AD0" w:rsidRDefault="00A43A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7B95CEEB"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3B12D5">
                            <w:rPr>
                              <w:rFonts w:cs="B Mehr" w:hint="cs"/>
                              <w:rtl/>
                              <w:lang w:bidi="fa-IR"/>
                            </w:rPr>
                            <w:t>چهار</w:t>
                          </w:r>
                          <w:r w:rsidR="003F4E57">
                            <w:rPr>
                              <w:rFonts w:cs="B Mehr" w:hint="cs"/>
                              <w:rtl/>
                              <w:lang w:bidi="fa-IR"/>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3B12D5">
                            <w:rPr>
                              <w:rFonts w:cs="B Mehr" w:hint="cs"/>
                              <w:rtl/>
                              <w:lang w:bidi="fa-IR"/>
                            </w:rPr>
                            <w:t>23</w:t>
                          </w:r>
                          <w:r w:rsidR="0094174A">
                            <w:rPr>
                              <w:rFonts w:cs="B Mehr" w:hint="cs"/>
                              <w:rtl/>
                              <w:lang w:bidi="fa-IR"/>
                            </w:rPr>
                            <w:t xml:space="preserve">   </w:t>
                          </w:r>
                          <w:r w:rsidR="00B2630B">
                            <w:rPr>
                              <w:rFonts w:cs="B Mehr" w:hint="cs"/>
                              <w:rtl/>
                              <w:lang w:bidi="fa-IR"/>
                            </w:rPr>
                            <w:t>مهر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7B95CEEB"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3B12D5">
                      <w:rPr>
                        <w:rFonts w:cs="B Mehr" w:hint="cs"/>
                        <w:rtl/>
                        <w:lang w:bidi="fa-IR"/>
                      </w:rPr>
                      <w:t>چهار</w:t>
                    </w:r>
                    <w:r w:rsidR="003F4E57">
                      <w:rPr>
                        <w:rFonts w:cs="B Mehr" w:hint="cs"/>
                        <w:rtl/>
                        <w:lang w:bidi="fa-IR"/>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3B12D5">
                      <w:rPr>
                        <w:rFonts w:cs="B Mehr" w:hint="cs"/>
                        <w:rtl/>
                        <w:lang w:bidi="fa-IR"/>
                      </w:rPr>
                      <w:t>23</w:t>
                    </w:r>
                    <w:r w:rsidR="0094174A">
                      <w:rPr>
                        <w:rFonts w:cs="B Mehr" w:hint="cs"/>
                        <w:rtl/>
                        <w:lang w:bidi="fa-IR"/>
                      </w:rPr>
                      <w:t xml:space="preserve">   </w:t>
                    </w:r>
                    <w:r w:rsidR="00B2630B">
                      <w:rPr>
                        <w:rFonts w:cs="B Mehr" w:hint="cs"/>
                        <w:rtl/>
                        <w:lang w:bidi="fa-IR"/>
                      </w:rPr>
                      <w:t>مهر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E9D8E" w14:textId="77777777" w:rsidR="00A43AD0" w:rsidRDefault="00A43AD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5B20"/>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26D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26732"/>
    <w:rsid w:val="0013020B"/>
    <w:rsid w:val="0013025B"/>
    <w:rsid w:val="0013086C"/>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D5"/>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40F"/>
    <w:rsid w:val="003F4E57"/>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76A"/>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3AD0"/>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87040689">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026289">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12125884">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4102</TotalTime>
  <Pages>1</Pages>
  <Words>1044</Words>
  <Characters>5956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1216</cp:revision>
  <cp:lastPrinted>2025-04-15T09:36:00Z</cp:lastPrinted>
  <dcterms:created xsi:type="dcterms:W3CDTF">2022-10-16T08:36:00Z</dcterms:created>
  <dcterms:modified xsi:type="dcterms:W3CDTF">2025-10-18T07:32:00Z</dcterms:modified>
</cp:coreProperties>
</file>