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EE942" w14:textId="77777777" w:rsidR="00A43AD0" w:rsidRDefault="00A43AD0" w:rsidP="00A43AD0">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2077386" w14:textId="77777777" w:rsidR="00A43AD0" w:rsidRDefault="00A43AD0" w:rsidP="00A43AD0">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2E7C0E9" w14:textId="77777777" w:rsidR="00A43AD0" w:rsidRDefault="00A43AD0" w:rsidP="00A43AD0">
      <w:pPr>
        <w:widowControl w:val="0"/>
        <w:bidi/>
        <w:spacing w:after="240"/>
        <w:jc w:val="center"/>
        <w:rPr>
          <w:rFonts w:cs="B Mitra" w:hint="cs"/>
          <w:b/>
          <w:bCs/>
          <w:sz w:val="32"/>
          <w:szCs w:val="32"/>
          <w:rtl/>
          <w:lang w:bidi="fa-IR"/>
        </w:rPr>
      </w:pPr>
      <w:r>
        <w:rPr>
          <w:rFonts w:cs="B Mitra" w:hint="cs"/>
          <w:b/>
          <w:bCs/>
          <w:sz w:val="32"/>
          <w:szCs w:val="32"/>
          <w:rtl/>
          <w:lang w:bidi="fa-IR"/>
        </w:rPr>
        <w:t>جلسه 950</w:t>
      </w:r>
    </w:p>
    <w:bookmarkEnd w:id="0"/>
    <w:p w14:paraId="2FE06D68" w14:textId="77777777" w:rsidR="00A43AD0" w:rsidRDefault="00A43AD0" w:rsidP="00A43AD0">
      <w:pPr>
        <w:widowControl w:val="0"/>
        <w:tabs>
          <w:tab w:val="num" w:pos="1440"/>
        </w:tabs>
        <w:bidi/>
        <w:spacing w:before="240"/>
        <w:ind w:firstLine="289"/>
        <w:jc w:val="both"/>
        <w:rPr>
          <w:rFonts w:cs="2  Mitra" w:hint="cs"/>
          <w:sz w:val="28"/>
          <w:szCs w:val="28"/>
          <w:rtl/>
        </w:rPr>
      </w:pPr>
    </w:p>
    <w:p w14:paraId="4FD2028D" w14:textId="77777777" w:rsidR="00A43AD0" w:rsidRDefault="00A43AD0" w:rsidP="00A43AD0">
      <w:pPr>
        <w:widowControl w:val="0"/>
        <w:tabs>
          <w:tab w:val="num" w:pos="1440"/>
        </w:tabs>
        <w:bidi/>
        <w:spacing w:before="240" w:line="240" w:lineRule="auto"/>
        <w:ind w:firstLine="289"/>
        <w:jc w:val="both"/>
        <w:rPr>
          <w:rFonts w:cs="2  Mitra" w:hint="cs"/>
          <w:sz w:val="28"/>
          <w:szCs w:val="28"/>
          <w:rtl/>
        </w:rPr>
      </w:pPr>
      <w:r>
        <w:rPr>
          <w:rFonts w:cs="2  Mitra" w:hint="cs"/>
          <w:sz w:val="28"/>
          <w:szCs w:val="28"/>
          <w:rtl/>
        </w:rPr>
        <w:t>مرحوم ميرزای نائينی در ادامه کلام خود می</w:t>
      </w:r>
      <w:r>
        <w:rPr>
          <w:rFonts w:cs="2  Mitra" w:hint="cs"/>
          <w:sz w:val="28"/>
          <w:szCs w:val="28"/>
          <w:rtl/>
        </w:rPr>
        <w:softHyphen/>
        <w:t>فرمايد: در مقام شک در اين که عموم مدلول کلام، استغراقی است یا مجموعی، مقتضای اصل آن است که عموم، استغراقی باشد؛ زیرا تحقق عموم مجموعی متوقف بر آن است که امور متعدّد به عنوان یک امر واحد اعتبار شوند تا بر آن حکم واحدی مترتب شود، و این اعتبار، یک عنایت زائد است که افاده آن به مؤونه و قرینه دیگری نیاز دارد.</w:t>
      </w:r>
      <w:r>
        <w:rPr>
          <w:rStyle w:val="FootnoteReference"/>
          <w:rFonts w:cs="2  Mitra"/>
          <w:spacing w:val="-2"/>
          <w:sz w:val="28"/>
          <w:szCs w:val="28"/>
          <w:rtl/>
        </w:rPr>
        <w:footnoteReference w:id="2"/>
      </w:r>
    </w:p>
    <w:p w14:paraId="46B8B7E9" w14:textId="77777777" w:rsidR="00A43AD0" w:rsidRDefault="00A43AD0" w:rsidP="00A43AD0">
      <w:pPr>
        <w:widowControl w:val="0"/>
        <w:tabs>
          <w:tab w:val="num" w:pos="1440"/>
        </w:tabs>
        <w:bidi/>
        <w:spacing w:before="240" w:line="240" w:lineRule="auto"/>
        <w:ind w:firstLine="289"/>
        <w:jc w:val="both"/>
        <w:rPr>
          <w:rFonts w:cs="2  Mitra" w:hint="cs"/>
          <w:spacing w:val="-2"/>
          <w:sz w:val="28"/>
          <w:szCs w:val="28"/>
          <w:rtl/>
        </w:rPr>
      </w:pPr>
      <w:r>
        <w:rPr>
          <w:rFonts w:cs="2  Mitra" w:hint="cs"/>
          <w:spacing w:val="-2"/>
          <w:sz w:val="28"/>
          <w:szCs w:val="28"/>
          <w:rtl/>
        </w:rPr>
        <w:t>ولی با توجه به آنچه در بیان کیفیت نسبت میان مفهوم کلی و افراد آن در هر یک از اقسام عموم گذشت، روشن می‌شود که مدّعای ایشان قابل التزام نیست؛ زیرا قدر متیقّن از وضع در هر سه قسم، صرفاً شمول عام بر افراد خویش است، و تعیین نحوه لحاظ افراد عام به یکی از سه صورت «لا بشرط قسمی»، «بشرط شیء» یا «بشرط لا» نیازمند مؤونه‌ای زائد است.</w:t>
      </w:r>
    </w:p>
    <w:p w14:paraId="37743392" w14:textId="77777777" w:rsidR="00A43AD0" w:rsidRDefault="00A43AD0" w:rsidP="00A43AD0">
      <w:pPr>
        <w:widowControl w:val="0"/>
        <w:tabs>
          <w:tab w:val="num" w:pos="1440"/>
        </w:tabs>
        <w:bidi/>
        <w:spacing w:before="240" w:line="240" w:lineRule="auto"/>
        <w:ind w:firstLine="289"/>
        <w:jc w:val="both"/>
        <w:rPr>
          <w:rFonts w:cs="2  Mitra"/>
          <w:sz w:val="28"/>
          <w:szCs w:val="28"/>
        </w:rPr>
      </w:pPr>
      <w:r>
        <w:rPr>
          <w:rFonts w:cs="2  Mitra" w:hint="cs"/>
          <w:sz w:val="28"/>
          <w:szCs w:val="28"/>
          <w:rtl/>
        </w:rPr>
        <w:t>به بیان دیگر: نسبت عام مجموعی، عام استغراقی و عام بدلی با یکدیگر، نسبت تباین است، و هیچ یک نسبت به دو قسم دیگر، واجد قدر متیقّنی نیست که بتوان بر اساس آن، در مقام شک اصل را بر انتساب عام به یکی از این اقسام نهاد.</w:t>
      </w:r>
    </w:p>
    <w:p w14:paraId="7FEB3E47" w14:textId="77777777" w:rsidR="00A43AD0" w:rsidRDefault="00A43AD0" w:rsidP="00A43AD0">
      <w:pPr>
        <w:widowControl w:val="0"/>
        <w:bidi/>
        <w:spacing w:before="240" w:line="268" w:lineRule="auto"/>
        <w:ind w:firstLine="289"/>
        <w:jc w:val="both"/>
        <w:rPr>
          <w:rFonts w:ascii="Amiri" w:hAnsi="Amiri" w:cs="Amiri"/>
          <w:b/>
          <w:bCs/>
          <w:sz w:val="26"/>
          <w:szCs w:val="26"/>
        </w:rPr>
      </w:pPr>
      <w:r>
        <w:rPr>
          <w:rFonts w:ascii="Amiri" w:hAnsi="Amiri" w:cs="Amiri"/>
          <w:b/>
          <w:bCs/>
          <w:sz w:val="26"/>
          <w:szCs w:val="26"/>
          <w:rtl/>
        </w:rPr>
        <w:t>مقدمه سوم: عدم صدق تعريف عموم بر اعداد</w:t>
      </w:r>
    </w:p>
    <w:p w14:paraId="7EC12C9D" w14:textId="77777777" w:rsidR="00A43AD0" w:rsidRDefault="00A43AD0" w:rsidP="00A43AD0">
      <w:pPr>
        <w:widowControl w:val="0"/>
        <w:tabs>
          <w:tab w:val="num" w:pos="1440"/>
        </w:tabs>
        <w:bidi/>
        <w:spacing w:before="240" w:line="268" w:lineRule="auto"/>
        <w:ind w:firstLine="289"/>
        <w:jc w:val="both"/>
        <w:rPr>
          <w:rFonts w:cs="2  Mitra"/>
          <w:sz w:val="28"/>
          <w:szCs w:val="28"/>
          <w:rtl/>
        </w:rPr>
      </w:pPr>
      <w:r>
        <w:rPr>
          <w:rFonts w:cs="2  Mitra" w:hint="cs"/>
          <w:sz w:val="28"/>
          <w:szCs w:val="28"/>
          <w:rtl/>
        </w:rPr>
        <w:t>مرحوم آخوند می</w:t>
      </w:r>
      <w:r>
        <w:rPr>
          <w:rFonts w:cs="2  Mitra" w:hint="cs"/>
          <w:sz w:val="28"/>
          <w:szCs w:val="28"/>
          <w:rtl/>
        </w:rPr>
        <w:softHyphen/>
        <w:t>فرمايد: شمول لفظ «</w:t>
      </w:r>
      <w:r>
        <w:rPr>
          <w:rFonts w:cs="Abz-2 (Badr)" w:hint="cs"/>
          <w:sz w:val="28"/>
          <w:szCs w:val="28"/>
          <w:rtl/>
        </w:rPr>
        <w:t>عشرة</w:t>
      </w:r>
      <w:r>
        <w:rPr>
          <w:rFonts w:cs="2  Mitra" w:hint="cs"/>
          <w:sz w:val="28"/>
          <w:szCs w:val="28"/>
          <w:rtl/>
        </w:rPr>
        <w:t>» و مانند آن نسبت به آحادش که در تحت آن مندرج‌اند، از باب عموم نیست؛ زیرا مفهوم آن صلاحیت انطباق بر تک‌تک آحاد را ندارد.</w:t>
      </w:r>
      <w:r>
        <w:rPr>
          <w:rStyle w:val="FootnoteReference"/>
          <w:rFonts w:cs="2  Mitra"/>
          <w:spacing w:val="-2"/>
          <w:sz w:val="28"/>
          <w:szCs w:val="28"/>
          <w:rtl/>
        </w:rPr>
        <w:footnoteReference w:id="3"/>
      </w:r>
    </w:p>
    <w:p w14:paraId="53D988EE" w14:textId="77777777" w:rsidR="00A43AD0" w:rsidRDefault="00A43AD0" w:rsidP="00A43AD0">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مرحوم محقق اصفهانی، اشکالی بر مدعای آخوند وارد کرده و از آن اشکال پاسخ می</w:t>
      </w:r>
      <w:r>
        <w:rPr>
          <w:rFonts w:cs="2  Mitra" w:hint="cs"/>
          <w:sz w:val="28"/>
          <w:szCs w:val="28"/>
          <w:rtl/>
        </w:rPr>
        <w:softHyphen/>
        <w:t>دهد.</w:t>
      </w:r>
    </w:p>
    <w:p w14:paraId="5B670314" w14:textId="77777777" w:rsidR="00A43AD0" w:rsidRDefault="00A43AD0" w:rsidP="00A43AD0">
      <w:pPr>
        <w:widowControl w:val="0"/>
        <w:tabs>
          <w:tab w:val="num" w:pos="1440"/>
        </w:tabs>
        <w:bidi/>
        <w:spacing w:before="240"/>
        <w:ind w:firstLine="289"/>
        <w:jc w:val="both"/>
        <w:rPr>
          <w:rFonts w:cs="2  Mitra" w:hint="cs"/>
          <w:spacing w:val="-4"/>
          <w:sz w:val="28"/>
          <w:szCs w:val="28"/>
          <w:rtl/>
        </w:rPr>
      </w:pPr>
      <w:r>
        <w:rPr>
          <w:rFonts w:cs="2  Mitra" w:hint="cs"/>
          <w:spacing w:val="-4"/>
          <w:sz w:val="28"/>
          <w:szCs w:val="28"/>
          <w:rtl/>
        </w:rPr>
        <w:lastRenderedPageBreak/>
        <w:t>ايشان در بيان اشکال می</w:t>
      </w:r>
      <w:r>
        <w:rPr>
          <w:rFonts w:cs="2  Mitra" w:hint="cs"/>
          <w:spacing w:val="-4"/>
          <w:sz w:val="28"/>
          <w:szCs w:val="28"/>
          <w:rtl/>
        </w:rPr>
        <w:softHyphen/>
        <w:t>فرمايد: هر مرتبه عدد از آحاد تشکیل شده و «واحد» بر هر یک از آنها منطبق است. پس «</w:t>
      </w:r>
      <w:r>
        <w:rPr>
          <w:rFonts w:cs="Abz-2 (Badr)" w:hint="cs"/>
          <w:spacing w:val="-4"/>
          <w:sz w:val="28"/>
          <w:szCs w:val="28"/>
          <w:rtl/>
        </w:rPr>
        <w:t>عشرة</w:t>
      </w:r>
      <w:r>
        <w:rPr>
          <w:rFonts w:cs="2  Mitra" w:hint="cs"/>
          <w:spacing w:val="-4"/>
          <w:sz w:val="28"/>
          <w:szCs w:val="28"/>
          <w:rtl/>
        </w:rPr>
        <w:t>» نیز «واحد» را تا حد خود در بر می‌گیرد. اما عدم انطباق «</w:t>
      </w:r>
      <w:r>
        <w:rPr>
          <w:rFonts w:cs="Abz-2 (Badr)" w:hint="cs"/>
          <w:spacing w:val="-4"/>
          <w:sz w:val="28"/>
          <w:szCs w:val="28"/>
          <w:rtl/>
        </w:rPr>
        <w:t>عشرة</w:t>
      </w:r>
      <w:r>
        <w:rPr>
          <w:rFonts w:cs="2  Mitra" w:hint="cs"/>
          <w:spacing w:val="-4"/>
          <w:sz w:val="28"/>
          <w:szCs w:val="28"/>
          <w:rtl/>
        </w:rPr>
        <w:t>» بما هو بر «واحد» اشکالی به اين مطلب وارد نمی</w:t>
      </w:r>
      <w:r>
        <w:rPr>
          <w:rFonts w:cs="2  Mitra" w:hint="cs"/>
          <w:spacing w:val="-4"/>
          <w:sz w:val="28"/>
          <w:szCs w:val="28"/>
          <w:rtl/>
        </w:rPr>
        <w:softHyphen/>
        <w:t>کند؛ همان طور که «</w:t>
      </w:r>
      <w:r>
        <w:rPr>
          <w:rFonts w:cs="Abz-2 (Badr)" w:hint="cs"/>
          <w:spacing w:val="-4"/>
          <w:sz w:val="28"/>
          <w:szCs w:val="28"/>
          <w:rtl/>
        </w:rPr>
        <w:t>کلّ عالم</w:t>
      </w:r>
      <w:r>
        <w:rPr>
          <w:rFonts w:cs="2  Mitra" w:hint="cs"/>
          <w:spacing w:val="-4"/>
          <w:sz w:val="28"/>
          <w:szCs w:val="28"/>
          <w:rtl/>
        </w:rPr>
        <w:t>» بر تک تک عالم</w:t>
      </w:r>
      <w:r>
        <w:rPr>
          <w:rFonts w:cs="2  Mitra" w:hint="cs"/>
          <w:spacing w:val="-4"/>
          <w:sz w:val="28"/>
          <w:szCs w:val="28"/>
          <w:rtl/>
        </w:rPr>
        <w:softHyphen/>
        <w:t>ها منطبق نیست، بلکه مدخول ابزار عموم با لحاظ سعه آن منطبق بر افراد متعدد می‌شود. بنابر این ملاک انطباق، ذات دارای شمول بدون لحاظ حیثیت استغراقی آن است، وگرنه جز یک مصداق برای آن وجود نخواهد داشت.</w:t>
      </w:r>
    </w:p>
    <w:p w14:paraId="19EDF055" w14:textId="77777777" w:rsidR="00A43AD0" w:rsidRDefault="00A43AD0" w:rsidP="00A43AD0">
      <w:pPr>
        <w:widowControl w:val="0"/>
        <w:tabs>
          <w:tab w:val="num" w:pos="1440"/>
        </w:tabs>
        <w:bidi/>
        <w:spacing w:before="240"/>
        <w:ind w:firstLine="289"/>
        <w:jc w:val="both"/>
        <w:rPr>
          <w:rFonts w:cs="2  Mitra" w:hint="cs"/>
          <w:sz w:val="28"/>
          <w:szCs w:val="28"/>
          <w:rtl/>
        </w:rPr>
      </w:pPr>
      <w:r>
        <w:rPr>
          <w:rFonts w:cs="2  Mitra" w:hint="cs"/>
          <w:sz w:val="28"/>
          <w:szCs w:val="28"/>
          <w:rtl/>
        </w:rPr>
        <w:t>سپس در مقام رفع اشکال می</w:t>
      </w:r>
      <w:r>
        <w:rPr>
          <w:rFonts w:cs="2  Mitra" w:hint="cs"/>
          <w:sz w:val="28"/>
          <w:szCs w:val="28"/>
          <w:rtl/>
        </w:rPr>
        <w:softHyphen/>
        <w:t>فرمايد: تفاوت در این است که «</w:t>
      </w:r>
      <w:r>
        <w:rPr>
          <w:rFonts w:cs="Abz-2 (Badr)" w:hint="cs"/>
          <w:sz w:val="28"/>
          <w:szCs w:val="28"/>
          <w:rtl/>
        </w:rPr>
        <w:t>عشرة</w:t>
      </w:r>
      <w:r>
        <w:rPr>
          <w:rFonts w:cs="2  Mitra" w:hint="cs"/>
          <w:sz w:val="28"/>
          <w:szCs w:val="28"/>
          <w:rtl/>
        </w:rPr>
        <w:t>» مفهومی مستقل و متمایز از «واحد» و سایر مراتب عدد است و «واحد» جزء مفهومی آن نیست، برخلاف مدخول «کلّ» که ذاتاً قابلیت انطباق بر افراد متعدد دارد و با ابزار عموم، شمول و استغراق می‌یابد.</w:t>
      </w:r>
      <w:r>
        <w:rPr>
          <w:rStyle w:val="FootnoteReference"/>
          <w:rFonts w:cs="2  Mitra"/>
          <w:spacing w:val="-2"/>
          <w:sz w:val="28"/>
          <w:szCs w:val="28"/>
          <w:rtl/>
        </w:rPr>
        <w:footnoteReference w:id="4"/>
      </w:r>
    </w:p>
    <w:p w14:paraId="5829AD17" w14:textId="77777777" w:rsidR="00A43AD0" w:rsidRDefault="00A43AD0" w:rsidP="00A43AD0">
      <w:pPr>
        <w:widowControl w:val="0"/>
        <w:tabs>
          <w:tab w:val="num" w:pos="1440"/>
        </w:tabs>
        <w:bidi/>
        <w:spacing w:before="240"/>
        <w:ind w:firstLine="289"/>
        <w:jc w:val="both"/>
        <w:rPr>
          <w:rFonts w:cs="2  Mitra"/>
          <w:sz w:val="28"/>
          <w:szCs w:val="28"/>
          <w:lang w:bidi="fa-IR"/>
        </w:rPr>
      </w:pPr>
      <w:r>
        <w:rPr>
          <w:rFonts w:cs="2  Mitra" w:hint="cs"/>
          <w:sz w:val="28"/>
          <w:szCs w:val="28"/>
          <w:rtl/>
          <w:lang w:bidi="fa-IR"/>
        </w:rPr>
        <w:t>بررسی اين مطالب را به جلسه آينده موکول می</w:t>
      </w:r>
      <w:r>
        <w:rPr>
          <w:rFonts w:cs="2  Mitra" w:hint="cs"/>
          <w:sz w:val="28"/>
          <w:szCs w:val="28"/>
          <w:rtl/>
          <w:lang w:bidi="fa-IR"/>
        </w:rPr>
        <w:softHyphen/>
        <w:t>کنيم.</w:t>
      </w:r>
    </w:p>
    <w:p w14:paraId="51E23EBF" w14:textId="77777777" w:rsidR="00A43AD0" w:rsidRDefault="00A43AD0" w:rsidP="00A43AD0">
      <w:pPr>
        <w:rPr>
          <w:rFonts w:cs="2  Mitra" w:hint="cs"/>
          <w:sz w:val="28"/>
          <w:szCs w:val="28"/>
          <w:rtl/>
          <w:lang w:bidi="fa-IR"/>
        </w:rPr>
      </w:pPr>
      <w:r>
        <w:rPr>
          <w:rFonts w:cs="2  Mitra" w:hint="cs"/>
          <w:sz w:val="28"/>
          <w:szCs w:val="28"/>
          <w:rtl/>
          <w:lang w:bidi="fa-IR"/>
        </w:rPr>
        <w:br w:type="page"/>
      </w:r>
    </w:p>
    <w:p w14:paraId="6F8DF4BC" w14:textId="77777777" w:rsidR="00A43AD0" w:rsidRDefault="00A43AD0" w:rsidP="00A43AD0">
      <w:pPr>
        <w:widowControl w:val="0"/>
        <w:tabs>
          <w:tab w:val="num" w:pos="1440"/>
        </w:tabs>
        <w:bidi/>
        <w:spacing w:after="0"/>
        <w:ind w:firstLine="284"/>
        <w:jc w:val="both"/>
        <w:rPr>
          <w:rFonts w:cs="Abz-2 (Badr)" w:hint="cs"/>
          <w:sz w:val="28"/>
          <w:szCs w:val="28"/>
          <w:rtl/>
        </w:rPr>
      </w:pPr>
      <w:bookmarkStart w:id="1" w:name="_Hlk211243194"/>
      <w:r>
        <w:rPr>
          <w:rFonts w:cs="Abz-2 (Badr)" w:hint="cs"/>
          <w:sz w:val="28"/>
          <w:szCs w:val="28"/>
          <w:rtl/>
        </w:rPr>
        <w:lastRenderedPageBreak/>
        <w:t>قال الميرزا النائيني في تتمّة كلامه أنّه في مقام الشكّ في أنّ العموم المستفاد من الكلام هل هو استغراقي أو مجموعي، فمقتضى الأصل أن يحمل على العموم الاستغراقي، لأنّ تحقّق العموم المجموعي موقوف على اعتبار الأُمور المتعدّدة أمراً واحداً ليترتّب عليه حكم واحد، وهذا الاعتبار عناية زائدة تحتاج إفادتها إلى مؤونة وقرينة أُخرى.</w:t>
      </w:r>
      <w:r>
        <w:rPr>
          <w:rStyle w:val="FootnoteReference"/>
          <w:rFonts w:cs="Abz-2 (Badr)"/>
          <w:spacing w:val="-2"/>
          <w:sz w:val="28"/>
          <w:szCs w:val="28"/>
          <w:rtl/>
        </w:rPr>
        <w:footnoteReference w:id="5"/>
      </w:r>
    </w:p>
    <w:p w14:paraId="33F2B7D9" w14:textId="77777777" w:rsidR="00A43AD0" w:rsidRDefault="00A43AD0" w:rsidP="00A43AD0">
      <w:pPr>
        <w:widowControl w:val="0"/>
        <w:tabs>
          <w:tab w:val="num" w:pos="1440"/>
        </w:tabs>
        <w:bidi/>
        <w:spacing w:after="0"/>
        <w:ind w:firstLine="284"/>
        <w:jc w:val="both"/>
        <w:rPr>
          <w:rFonts w:cs="Abz-2 (Badr)" w:hint="cs"/>
          <w:sz w:val="28"/>
          <w:szCs w:val="28"/>
          <w:rtl/>
        </w:rPr>
      </w:pPr>
      <w:r>
        <w:rPr>
          <w:rFonts w:cs="Abz-2 (Badr)" w:hint="cs"/>
          <w:sz w:val="28"/>
          <w:szCs w:val="28"/>
          <w:rtl/>
        </w:rPr>
        <w:t>ولكن بالنظر إلى ما تقدّم في بيان كيفيّة النسبة بين المفهوم الكلّي وأفراده في كلّ واحد من أقسام العموم، يتّضح أنّ مدعاه غير قابل للالتزام، لأنّ القدر المتيقّن من الوضع في الأقسام الثلاثة إنّما هو شمول العامّ لأفراده، وأمّا تعيين نحو لحاظ الأفراد في أحد أنحائه الثلاثة ـ أي: «لا بشرط القسمي» و«بشرط شيء» و«بشرط لا» ـ فيحتاج إلى مؤونة زائدة.</w:t>
      </w:r>
    </w:p>
    <w:p w14:paraId="0183DAE0" w14:textId="77777777" w:rsidR="00A43AD0" w:rsidRDefault="00A43AD0" w:rsidP="00A43AD0">
      <w:pPr>
        <w:widowControl w:val="0"/>
        <w:tabs>
          <w:tab w:val="num" w:pos="1440"/>
        </w:tabs>
        <w:bidi/>
        <w:spacing w:after="0"/>
        <w:ind w:firstLine="284"/>
        <w:jc w:val="both"/>
        <w:rPr>
          <w:rFonts w:cs="Abz-2 (Badr)" w:hint="cs"/>
          <w:sz w:val="28"/>
          <w:szCs w:val="28"/>
          <w:rtl/>
        </w:rPr>
      </w:pPr>
      <w:r>
        <w:rPr>
          <w:rFonts w:cs="Abz-2 (Badr)" w:hint="cs"/>
          <w:sz w:val="28"/>
          <w:szCs w:val="28"/>
          <w:rtl/>
        </w:rPr>
        <w:t>وبعبارة أُخرى: إنّ نسبة العامّ المجموعي والعامّ الاستغراقي والعام البدلي إلى بعضها نسبة التباين، ولا يوجد بينها قدر متيقّن يمكن الاعتماد عليه في مقام الشكّ لجعل الأصل في انتساب العامّ إلى أحد هذه الأقسام.</w:t>
      </w:r>
    </w:p>
    <w:p w14:paraId="3A706B16" w14:textId="77777777" w:rsidR="00A43AD0" w:rsidRDefault="00A43AD0" w:rsidP="00A43AD0">
      <w:pPr>
        <w:widowControl w:val="0"/>
        <w:tabs>
          <w:tab w:val="num" w:pos="1440"/>
        </w:tabs>
        <w:bidi/>
        <w:spacing w:after="0"/>
        <w:ind w:firstLine="284"/>
        <w:jc w:val="both"/>
        <w:rPr>
          <w:rFonts w:ascii="Amiri" w:hAnsi="Amiri" w:cs="Amiri" w:hint="cs"/>
          <w:b/>
          <w:bCs/>
          <w:sz w:val="26"/>
          <w:szCs w:val="26"/>
          <w:rtl/>
        </w:rPr>
      </w:pPr>
      <w:r>
        <w:rPr>
          <w:rFonts w:ascii="Amiri" w:hAnsi="Amiri" w:cs="Amiri"/>
          <w:b/>
          <w:bCs/>
          <w:sz w:val="26"/>
          <w:szCs w:val="26"/>
          <w:rtl/>
        </w:rPr>
        <w:t>المقدّمة الثالثة: عدم صدق تعريف العامّ علی الأعداد</w:t>
      </w:r>
    </w:p>
    <w:p w14:paraId="05C90F2D" w14:textId="77777777" w:rsidR="00A43AD0" w:rsidRDefault="00A43AD0" w:rsidP="00A43AD0">
      <w:pPr>
        <w:widowControl w:val="0"/>
        <w:tabs>
          <w:tab w:val="num" w:pos="1440"/>
        </w:tabs>
        <w:bidi/>
        <w:spacing w:after="0"/>
        <w:ind w:firstLine="284"/>
        <w:jc w:val="both"/>
        <w:rPr>
          <w:rFonts w:ascii="Amiri" w:hAnsi="Amiri" w:cs="Abz-2 (Badr)"/>
          <w:sz w:val="26"/>
          <w:szCs w:val="26"/>
          <w:rtl/>
        </w:rPr>
      </w:pPr>
      <w:r>
        <w:rPr>
          <w:rFonts w:ascii="Amiri" w:hAnsi="Amiri" w:cs="Abz-2 (Badr)" w:hint="cs"/>
          <w:sz w:val="26"/>
          <w:szCs w:val="26"/>
          <w:rtl/>
        </w:rPr>
        <w:t>قال صاحب الکفاية: إنّ شمول لفظ «عشرة» وأمثاله لآحاده المندرجة تحته، ليس من باب العموم، لأنّ مفهومه لا يصلح للانطباق على كلّ واحد من الآحاد على حدة.</w:t>
      </w:r>
      <w:r>
        <w:rPr>
          <w:rStyle w:val="FootnoteReference"/>
          <w:rFonts w:cs="Abz-2 (Badr)"/>
          <w:spacing w:val="-2"/>
          <w:sz w:val="28"/>
          <w:szCs w:val="28"/>
          <w:rtl/>
        </w:rPr>
        <w:footnoteReference w:id="6"/>
      </w:r>
    </w:p>
    <w:p w14:paraId="0D57EAAC" w14:textId="77777777" w:rsidR="00A43AD0" w:rsidRDefault="00A43AD0" w:rsidP="00A43AD0">
      <w:pPr>
        <w:widowControl w:val="0"/>
        <w:tabs>
          <w:tab w:val="num" w:pos="1440"/>
        </w:tabs>
        <w:bidi/>
        <w:spacing w:after="0"/>
        <w:ind w:firstLine="284"/>
        <w:jc w:val="both"/>
        <w:rPr>
          <w:rFonts w:ascii="Amiri" w:hAnsi="Amiri" w:cs="Abz-2 (Badr)" w:hint="cs"/>
          <w:sz w:val="26"/>
          <w:szCs w:val="26"/>
          <w:rtl/>
        </w:rPr>
      </w:pPr>
      <w:r>
        <w:rPr>
          <w:rFonts w:ascii="Amiri" w:hAnsi="Amiri" w:cs="Abz-2 (Badr)" w:hint="cs"/>
          <w:sz w:val="26"/>
          <w:szCs w:val="26"/>
          <w:rtl/>
        </w:rPr>
        <w:t>وأورد المحقّق الإصفهاني إشكالاً على مدّعى المحقّق الخراساني حيث قال: إنّ كلّ مرتبة من مراتب العدد، مركّبة من آحاد، و«الواحد» منطبق على كلّ واحد منها، فـ «العشرة» تشتمل على «الواحد» إلى حدّها، وعدم انطباق العشرة بما هي على الواحد، لا يقدح في ذلك، كما أنّ «كلّ عالم» لا ينطبق على أفراد العالم، بل إنّ مدخول أداة العموم مع لحاظ سعته هو الذي ينطبق على الأفراد المتعدّدة.</w:t>
      </w:r>
    </w:p>
    <w:p w14:paraId="00D27A3E" w14:textId="77777777" w:rsidR="00A43AD0" w:rsidRDefault="00A43AD0" w:rsidP="00A43AD0">
      <w:pPr>
        <w:widowControl w:val="0"/>
        <w:tabs>
          <w:tab w:val="num" w:pos="1440"/>
        </w:tabs>
        <w:bidi/>
        <w:spacing w:after="0"/>
        <w:ind w:firstLine="284"/>
        <w:jc w:val="both"/>
        <w:rPr>
          <w:rFonts w:ascii="Amiri" w:hAnsi="Amiri" w:cs="Abz-2 (Badr)" w:hint="cs"/>
          <w:sz w:val="26"/>
          <w:szCs w:val="26"/>
          <w:rtl/>
          <w:lang w:bidi="fa-IR"/>
        </w:rPr>
      </w:pPr>
      <w:r>
        <w:rPr>
          <w:rFonts w:ascii="Amiri" w:hAnsi="Amiri" w:cs="Abz-2 (Badr)" w:hint="cs"/>
          <w:sz w:val="26"/>
          <w:szCs w:val="26"/>
          <w:rtl/>
        </w:rPr>
        <w:t>فملاك الانطباق هو الذات المشتملة على الشمول من غير لحاظ جهة الاستغراق، وإلّا لم يكن له إلّا مصداق واحد.</w:t>
      </w:r>
    </w:p>
    <w:p w14:paraId="25A84104" w14:textId="77777777" w:rsidR="00A43AD0" w:rsidRDefault="00A43AD0" w:rsidP="00A43AD0">
      <w:pPr>
        <w:widowControl w:val="0"/>
        <w:tabs>
          <w:tab w:val="num" w:pos="1440"/>
        </w:tabs>
        <w:bidi/>
        <w:spacing w:after="0"/>
        <w:ind w:firstLine="284"/>
        <w:jc w:val="both"/>
        <w:rPr>
          <w:rFonts w:ascii="Amiri" w:hAnsi="Amiri" w:cs="Abz-2 (Badr)"/>
          <w:sz w:val="26"/>
          <w:szCs w:val="26"/>
          <w:lang w:bidi="fa-IR"/>
        </w:rPr>
      </w:pPr>
      <w:r>
        <w:rPr>
          <w:rFonts w:ascii="Amiri" w:hAnsi="Amiri" w:cs="Abz-2 (Badr)" w:hint="cs"/>
          <w:sz w:val="26"/>
          <w:szCs w:val="26"/>
          <w:rtl/>
        </w:rPr>
        <w:t>ثمّ قال في مقام دفع هذا الإشكال: إنّ الفرق بين المقامين هو أنّ «العشرة» مفهوم مستقلّ متميّز عن «الواحد» وسائر مراتب العدد، و«الواحد» ليس جزءً من مفهومها، بخلاف مدخول «كلّ»، فإنّه ذو قابليّة ذاتيّة للانطباق على الأفراد المتعدّدة، وتكتسب الشمول والاستغراق بواسطة أداة العموم.</w:t>
      </w:r>
      <w:r>
        <w:rPr>
          <w:rStyle w:val="FootnoteReference"/>
          <w:rFonts w:cs="Abz-2 (Badr)"/>
          <w:spacing w:val="-2"/>
          <w:sz w:val="28"/>
          <w:szCs w:val="28"/>
          <w:rtl/>
        </w:rPr>
        <w:footnoteReference w:id="7"/>
      </w:r>
    </w:p>
    <w:p w14:paraId="42D2FB8A" w14:textId="77777777" w:rsidR="00A43AD0" w:rsidRDefault="00A43AD0" w:rsidP="00A43AD0">
      <w:pPr>
        <w:widowControl w:val="0"/>
        <w:tabs>
          <w:tab w:val="num" w:pos="1440"/>
        </w:tabs>
        <w:bidi/>
        <w:spacing w:after="0"/>
        <w:ind w:firstLine="284"/>
        <w:jc w:val="both"/>
        <w:rPr>
          <w:rFonts w:ascii="Amiri" w:hAnsi="Amiri" w:cs="Abz-2 (Badr)"/>
          <w:sz w:val="26"/>
          <w:szCs w:val="26"/>
          <w:lang w:bidi="fa-IR"/>
        </w:rPr>
      </w:pPr>
      <w:r>
        <w:rPr>
          <w:rFonts w:ascii="Amiri" w:hAnsi="Amiri" w:cs="Abz-2 (Badr)" w:hint="cs"/>
          <w:sz w:val="26"/>
          <w:szCs w:val="26"/>
          <w:rtl/>
        </w:rPr>
        <w:lastRenderedPageBreak/>
        <w:t>ونوکل دراسة هذه المطالب إلى الجلسة القادمة إن شاء الله.</w:t>
      </w:r>
      <w:bookmarkEnd w:id="1"/>
    </w:p>
    <w:p w14:paraId="7D9979DE" w14:textId="26D41A3F" w:rsidR="001B24FC" w:rsidRPr="00A43AD0" w:rsidRDefault="001B24FC" w:rsidP="00A43AD0">
      <w:pPr>
        <w:rPr>
          <w:rtl/>
        </w:rPr>
      </w:pPr>
    </w:p>
    <w:sectPr w:rsidR="001B24FC" w:rsidRPr="00A43AD0"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EA78" w14:textId="77777777" w:rsidR="0067276A" w:rsidRDefault="0067276A" w:rsidP="00C336C5">
      <w:pPr>
        <w:spacing w:after="0" w:line="240" w:lineRule="auto"/>
      </w:pPr>
      <w:r>
        <w:separator/>
      </w:r>
    </w:p>
  </w:endnote>
  <w:endnote w:type="continuationSeparator" w:id="0">
    <w:p w14:paraId="58DA4227" w14:textId="77777777" w:rsidR="0067276A" w:rsidRDefault="0067276A" w:rsidP="00C336C5">
      <w:pPr>
        <w:spacing w:after="0" w:line="240" w:lineRule="auto"/>
      </w:pPr>
      <w:r>
        <w:continuationSeparator/>
      </w:r>
    </w:p>
  </w:endnote>
  <w:endnote w:type="continuationNotice" w:id="1">
    <w:p w14:paraId="5BB4B663" w14:textId="77777777" w:rsidR="0067276A" w:rsidRDefault="00672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73DB" w14:textId="77777777" w:rsidR="00A43AD0" w:rsidRDefault="00A43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0BD" w14:textId="77777777" w:rsidR="00A43AD0" w:rsidRDefault="00A4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128B" w14:textId="77777777" w:rsidR="0067276A" w:rsidRDefault="0067276A" w:rsidP="00C336C5">
      <w:pPr>
        <w:bidi/>
        <w:spacing w:after="0" w:line="240" w:lineRule="auto"/>
      </w:pPr>
      <w:r>
        <w:separator/>
      </w:r>
    </w:p>
  </w:footnote>
  <w:footnote w:type="continuationSeparator" w:id="0">
    <w:p w14:paraId="05F42E15" w14:textId="77777777" w:rsidR="0067276A" w:rsidRDefault="0067276A" w:rsidP="00C336C5">
      <w:pPr>
        <w:spacing w:after="0" w:line="240" w:lineRule="auto"/>
      </w:pPr>
      <w:r>
        <w:continuationSeparator/>
      </w:r>
    </w:p>
  </w:footnote>
  <w:footnote w:type="continuationNotice" w:id="1">
    <w:p w14:paraId="0E74B375" w14:textId="77777777" w:rsidR="0067276A" w:rsidRDefault="0067276A">
      <w:pPr>
        <w:spacing w:after="0" w:line="240" w:lineRule="auto"/>
      </w:pPr>
    </w:p>
  </w:footnote>
  <w:footnote w:id="2">
    <w:p w14:paraId="3308AE3E"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راجع: أجود التقريرات،همان.</w:t>
      </w:r>
    </w:p>
  </w:footnote>
  <w:footnote w:id="3">
    <w:p w14:paraId="6F115F3B"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الأُصول،ص216.</w:t>
      </w:r>
    </w:p>
  </w:footnote>
  <w:footnote w:id="4">
    <w:p w14:paraId="087F4B0E"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الدراية،ج2،ص445 و 446.</w:t>
      </w:r>
    </w:p>
  </w:footnote>
  <w:footnote w:id="5">
    <w:p w14:paraId="166F0BDD"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التقريرات،همان.</w:t>
      </w:r>
    </w:p>
  </w:footnote>
  <w:footnote w:id="6">
    <w:p w14:paraId="3D26E478"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الأُصول،ص216.</w:t>
      </w:r>
    </w:p>
  </w:footnote>
  <w:footnote w:id="7">
    <w:p w14:paraId="18179880" w14:textId="77777777" w:rsidR="00A43AD0" w:rsidRDefault="00A43AD0" w:rsidP="00A43AD0">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الدراية،ج2،ص445 و 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E8D" w14:textId="77777777" w:rsidR="00A43AD0" w:rsidRDefault="00A43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36B684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A43AD0">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A43AD0">
                            <w:rPr>
                              <w:rFonts w:cs="B Mehr" w:hint="cs"/>
                              <w:rtl/>
                              <w:lang w:bidi="fa-IR"/>
                            </w:rPr>
                            <w:t>21</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36B684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A43AD0">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A43AD0">
                      <w:rPr>
                        <w:rFonts w:cs="B Mehr" w:hint="cs"/>
                        <w:rtl/>
                        <w:lang w:bidi="fa-IR"/>
                      </w:rPr>
                      <w:t>21</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9D8E" w14:textId="77777777" w:rsidR="00A43AD0" w:rsidRDefault="00A43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1212</cp:revision>
  <cp:lastPrinted>2025-04-15T09:36:00Z</cp:lastPrinted>
  <dcterms:created xsi:type="dcterms:W3CDTF">2022-10-16T08:36:00Z</dcterms:created>
  <dcterms:modified xsi:type="dcterms:W3CDTF">2025-10-13T08:16:00Z</dcterms:modified>
</cp:coreProperties>
</file>