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5B78F" w14:textId="77777777" w:rsidR="00A56423" w:rsidRDefault="00A56423" w:rsidP="00A56423">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4C4FD5F8" w14:textId="77777777" w:rsidR="00A56423" w:rsidRDefault="00A56423" w:rsidP="00A56423">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2DD07B90" w14:textId="77777777" w:rsidR="00A56423" w:rsidRDefault="00A56423" w:rsidP="00A56423">
      <w:pPr>
        <w:widowControl w:val="0"/>
        <w:bidi/>
        <w:spacing w:after="240"/>
        <w:jc w:val="center"/>
        <w:rPr>
          <w:rFonts w:cs="B Mitra" w:hint="cs"/>
          <w:b/>
          <w:bCs/>
          <w:sz w:val="32"/>
          <w:szCs w:val="32"/>
          <w:rtl/>
          <w:lang w:bidi="fa-IR"/>
        </w:rPr>
      </w:pPr>
      <w:r>
        <w:rPr>
          <w:rFonts w:cs="B Mitra" w:hint="cs"/>
          <w:b/>
          <w:bCs/>
          <w:sz w:val="32"/>
          <w:szCs w:val="32"/>
          <w:rtl/>
          <w:lang w:bidi="fa-IR"/>
        </w:rPr>
        <w:t>جلسه 949</w:t>
      </w:r>
    </w:p>
    <w:bookmarkEnd w:id="0"/>
    <w:p w14:paraId="32210F71" w14:textId="77777777" w:rsidR="00A56423" w:rsidRDefault="00A56423" w:rsidP="00A56423">
      <w:pPr>
        <w:widowControl w:val="0"/>
        <w:tabs>
          <w:tab w:val="num" w:pos="1440"/>
        </w:tabs>
        <w:bidi/>
        <w:spacing w:before="240"/>
        <w:ind w:firstLine="289"/>
        <w:jc w:val="both"/>
        <w:rPr>
          <w:rFonts w:cs="2  Mitra" w:hint="cs"/>
          <w:sz w:val="28"/>
          <w:szCs w:val="28"/>
          <w:rtl/>
        </w:rPr>
      </w:pPr>
    </w:p>
    <w:p w14:paraId="395A2A82" w14:textId="77777777" w:rsidR="00A56423" w:rsidRDefault="00A56423" w:rsidP="00A56423">
      <w:pPr>
        <w:widowControl w:val="0"/>
        <w:tabs>
          <w:tab w:val="num" w:pos="1440"/>
        </w:tabs>
        <w:bidi/>
        <w:spacing w:before="240"/>
        <w:ind w:firstLine="289"/>
        <w:jc w:val="both"/>
        <w:rPr>
          <w:rFonts w:cs="2  Mitra" w:hint="cs"/>
          <w:sz w:val="28"/>
          <w:szCs w:val="28"/>
          <w:rtl/>
        </w:rPr>
      </w:pPr>
      <w:r>
        <w:rPr>
          <w:rFonts w:cs="2  Mitra" w:hint="cs"/>
          <w:sz w:val="28"/>
          <w:szCs w:val="28"/>
          <w:rtl/>
        </w:rPr>
        <w:t>جلسه قبل مدعای مرحوم محقق عراقی در خصوص تفاوت اقسام عام را مطرح کردیم.</w:t>
      </w:r>
    </w:p>
    <w:p w14:paraId="531D8981" w14:textId="77777777" w:rsidR="00A56423" w:rsidRDefault="00A56423" w:rsidP="00A56423">
      <w:pPr>
        <w:widowControl w:val="0"/>
        <w:tabs>
          <w:tab w:val="num" w:pos="1440"/>
        </w:tabs>
        <w:bidi/>
        <w:spacing w:before="240"/>
        <w:ind w:firstLine="289"/>
        <w:jc w:val="both"/>
        <w:rPr>
          <w:rFonts w:cs="2  Mitra" w:hint="cs"/>
          <w:sz w:val="28"/>
          <w:szCs w:val="28"/>
          <w:rtl/>
        </w:rPr>
      </w:pPr>
      <w:r>
        <w:rPr>
          <w:rFonts w:cs="2  Mitra" w:hint="cs"/>
          <w:sz w:val="28"/>
          <w:szCs w:val="28"/>
          <w:rtl/>
        </w:rPr>
        <w:t>ولی بر اساس آنچه گذشت، اشکال فرمایش ایشان روشن می‌گردد؛ زیرا همان‌گونه که تفاوت عام بدلی با دو قسم دیگر در نحوه لحاظ افراد است، عام مجموعی و استغراقی نیز از این جهت با یکدیگر متفاوتند و تفاوتشان صرفاً به کیفیت تعلق حکم منحصر نیست. بلکه همچنان که گفتیم، اگر نحوه لحاظ افراد در عام مجموعی و عام استغراقی فی حد نفسه تفاوتی نداشته باشد، کیفیت تعلق حکم در آن‌ها نیز نمی‌تواند متفاوت باشد.</w:t>
      </w:r>
    </w:p>
    <w:p w14:paraId="2F30F042" w14:textId="77777777" w:rsidR="00A56423" w:rsidRDefault="00A56423" w:rsidP="00A56423">
      <w:pPr>
        <w:widowControl w:val="0"/>
        <w:tabs>
          <w:tab w:val="num" w:pos="1440"/>
        </w:tabs>
        <w:bidi/>
        <w:spacing w:before="240"/>
        <w:ind w:firstLine="289"/>
        <w:jc w:val="both"/>
        <w:rPr>
          <w:rFonts w:cs="2  Mitra" w:hint="cs"/>
          <w:sz w:val="28"/>
          <w:szCs w:val="28"/>
          <w:rtl/>
        </w:rPr>
      </w:pPr>
      <w:r>
        <w:rPr>
          <w:rFonts w:cs="2  Mitra" w:hint="cs"/>
          <w:sz w:val="28"/>
          <w:szCs w:val="28"/>
          <w:rtl/>
        </w:rPr>
        <w:t>بر این اساس هرچند در هر دو قسم عام مجموعی و عام استغراقی می‌توان شمول عام بر افراد را به «این و آن» تعبیر کرد، امّا تفاوت آن‌ها در این است که در عام مجموعی، «این به شرط آن و آن به شرط این» لحاظ می‌شود، در حالی که در عام استغراقی، «این لا بشرط نسبت به آن و آن لا بشرط نسبت به این» لحاظ می‌گردد.</w:t>
      </w:r>
    </w:p>
    <w:p w14:paraId="037DD804" w14:textId="77777777" w:rsidR="00A56423" w:rsidRDefault="00A56423" w:rsidP="00A56423">
      <w:pPr>
        <w:widowControl w:val="0"/>
        <w:tabs>
          <w:tab w:val="num" w:pos="1440"/>
        </w:tabs>
        <w:bidi/>
        <w:spacing w:before="240"/>
        <w:ind w:firstLine="289"/>
        <w:jc w:val="both"/>
        <w:rPr>
          <w:rFonts w:cs="Arial" w:hint="cs"/>
          <w:sz w:val="28"/>
          <w:szCs w:val="28"/>
          <w:rtl/>
        </w:rPr>
      </w:pPr>
      <w:r>
        <w:rPr>
          <w:rFonts w:cs="2  Mitra" w:hint="cs"/>
          <w:sz w:val="28"/>
          <w:szCs w:val="28"/>
          <w:rtl/>
        </w:rPr>
        <w:t>نتیجه آن که هر قسم از اقسام عام با دو قسم دیگر تقابل دارد، و ادعای محقّق عراقی مبنی بر این‌که تقابل فقط میان عام بدلی و مقسم مشترک دو قسم دیگر است، ادعای صحیحی نیست.</w:t>
      </w:r>
    </w:p>
    <w:p w14:paraId="0DD4C23C" w14:textId="77777777" w:rsidR="00A56423" w:rsidRDefault="00A56423" w:rsidP="00A56423">
      <w:pPr>
        <w:widowControl w:val="0"/>
        <w:tabs>
          <w:tab w:val="num" w:pos="1440"/>
        </w:tabs>
        <w:bidi/>
        <w:spacing w:before="240" w:line="268" w:lineRule="auto"/>
        <w:ind w:firstLine="289"/>
        <w:jc w:val="both"/>
        <w:rPr>
          <w:rFonts w:cs="2  Mitra"/>
          <w:spacing w:val="-2"/>
          <w:sz w:val="28"/>
          <w:szCs w:val="28"/>
          <w:rtl/>
        </w:rPr>
      </w:pPr>
      <w:r>
        <w:rPr>
          <w:rFonts w:cs="2  Mitra" w:hint="cs"/>
          <w:spacing w:val="-2"/>
          <w:sz w:val="28"/>
          <w:szCs w:val="28"/>
          <w:rtl/>
        </w:rPr>
        <w:t>اما مرحوم ميرزای نائينی، در اين که عام بدلی از اقسام عام باشد، اشکال کرده و آن را در حقيقت از اقسام مطلق دانسته</w:t>
      </w:r>
      <w:r>
        <w:rPr>
          <w:rFonts w:cs="2  Mitra" w:hint="cs"/>
          <w:spacing w:val="-2"/>
          <w:sz w:val="28"/>
          <w:szCs w:val="28"/>
          <w:rtl/>
        </w:rPr>
        <w:softHyphen/>
        <w:t>اند.</w:t>
      </w:r>
    </w:p>
    <w:p w14:paraId="362C34CA" w14:textId="77777777" w:rsidR="00A56423" w:rsidRDefault="00A56423" w:rsidP="00A56423">
      <w:pPr>
        <w:widowControl w:val="0"/>
        <w:tabs>
          <w:tab w:val="num" w:pos="1440"/>
        </w:tabs>
        <w:bidi/>
        <w:spacing w:before="240" w:line="268" w:lineRule="auto"/>
        <w:ind w:firstLine="289"/>
        <w:jc w:val="both"/>
        <w:rPr>
          <w:rFonts w:cs="2  Mitra" w:hint="cs"/>
          <w:sz w:val="28"/>
          <w:szCs w:val="28"/>
          <w:rtl/>
        </w:rPr>
      </w:pPr>
      <w:r>
        <w:rPr>
          <w:rFonts w:cs="2  Mitra" w:hint="cs"/>
          <w:sz w:val="28"/>
          <w:szCs w:val="28"/>
          <w:rtl/>
        </w:rPr>
        <w:t xml:space="preserve">ایشان در این باره فرموده‌اند: عموم بدلی در حقیقت از اقسام عموم نیست؛ زیرا بدلیت با عموم منافات دارد و متعلق حکم در آن تنها یک فرد مردد است و فرد واحد، عام به شمار نمی‌آید. البته در خود بدلیت شمول وجود دارد، اما اين شمول در حکمی که بر فرد به نحو بدلیت تعلق گرفته است، موجود نيست. بلکه چون این قسم از عموم، غالباً از اطلاق متعلق به دست </w:t>
      </w:r>
      <w:r>
        <w:rPr>
          <w:rFonts w:cs="2  Mitra" w:hint="cs"/>
          <w:sz w:val="28"/>
          <w:szCs w:val="28"/>
          <w:rtl/>
        </w:rPr>
        <w:lastRenderedPageBreak/>
        <w:t>می‌آید، باید آن را در شمار مطلق دانست نه عام.</w:t>
      </w:r>
      <w:r>
        <w:rPr>
          <w:rStyle w:val="FootnoteReference"/>
          <w:rFonts w:cs="2  Mitra"/>
          <w:spacing w:val="-2"/>
          <w:sz w:val="28"/>
          <w:szCs w:val="28"/>
          <w:rtl/>
        </w:rPr>
        <w:footnoteReference w:id="2"/>
      </w:r>
    </w:p>
    <w:p w14:paraId="58F1FDAD" w14:textId="77777777" w:rsidR="00A56423" w:rsidRDefault="00A56423" w:rsidP="00A56423">
      <w:pPr>
        <w:widowControl w:val="0"/>
        <w:tabs>
          <w:tab w:val="num" w:pos="1440"/>
        </w:tabs>
        <w:bidi/>
        <w:spacing w:before="240" w:line="268" w:lineRule="auto"/>
        <w:ind w:firstLine="289"/>
        <w:jc w:val="both"/>
        <w:rPr>
          <w:rFonts w:cs="2  Mitra" w:hint="cs"/>
          <w:sz w:val="28"/>
          <w:szCs w:val="28"/>
          <w:rtl/>
        </w:rPr>
      </w:pPr>
      <w:r>
        <w:rPr>
          <w:rFonts w:cs="2  Mitra" w:hint="cs"/>
          <w:sz w:val="28"/>
          <w:szCs w:val="28"/>
          <w:rtl/>
        </w:rPr>
        <w:t>اما مرحوم آيت الله خوئي در حاشيه اجود با اشکال بر فرمايش استاد خويش می</w:t>
      </w:r>
      <w:r>
        <w:rPr>
          <w:rFonts w:cs="2  Mitra" w:hint="cs"/>
          <w:sz w:val="28"/>
          <w:szCs w:val="28"/>
          <w:rtl/>
        </w:rPr>
        <w:softHyphen/>
        <w:t>فرمايد: عموم بدلی آن است که ترخیص در تطبیق مأمور به بر افراد، مدلول لفظی و مستند به وضع باشد ـ مانند «</w:t>
      </w:r>
      <w:r>
        <w:rPr>
          <w:rFonts w:cs="Abz-2 (Badr)" w:hint="cs"/>
          <w:sz w:val="28"/>
          <w:szCs w:val="28"/>
          <w:rtl/>
        </w:rPr>
        <w:t>قلّد أيّ مجتهد شئت</w:t>
      </w:r>
      <w:r>
        <w:rPr>
          <w:rFonts w:cs="2  Mitra" w:hint="cs"/>
          <w:sz w:val="28"/>
          <w:szCs w:val="28"/>
          <w:rtl/>
        </w:rPr>
        <w:t>» ـ و از این جهت از مطلق بدلی که ترخیص آن مبتنی بر مقدمات حکمت است، متمایز می‌شود. بنابر این، مدعای مرحوم میرزای نائینی تمام نیست، زیرا ملاک دخول در عام، استفاده عموم بدلی از دلالت وضعی است، وگرنه عموم شمولی نیز گاه از اطلاق و مقدمات حکمت به دست می‌آید، مانند «</w:t>
      </w:r>
      <w:r>
        <w:rPr>
          <w:rFonts w:cs="QuranTaha" w:hint="cs"/>
          <w:sz w:val="26"/>
          <w:szCs w:val="26"/>
          <w:rtl/>
        </w:rPr>
        <w:t>أَحَلَّ اللَّهُ الْبَيْعَ</w:t>
      </w:r>
      <w:r>
        <w:rPr>
          <w:rFonts w:cs="2  Mitra" w:hint="cs"/>
          <w:sz w:val="28"/>
          <w:szCs w:val="28"/>
          <w:rtl/>
        </w:rPr>
        <w:t>»</w:t>
      </w:r>
      <w:r>
        <w:rPr>
          <w:rStyle w:val="FootnoteReference"/>
          <w:rFonts w:cs="2  Mitra"/>
          <w:spacing w:val="-2"/>
          <w:sz w:val="28"/>
          <w:szCs w:val="28"/>
          <w:rtl/>
        </w:rPr>
        <w:footnoteReference w:id="3"/>
      </w:r>
      <w:r>
        <w:rPr>
          <w:rFonts w:cs="2  Mitra" w:hint="cs"/>
          <w:sz w:val="28"/>
          <w:szCs w:val="28"/>
          <w:rtl/>
        </w:rPr>
        <w:t>.</w:t>
      </w:r>
      <w:r>
        <w:rPr>
          <w:rStyle w:val="FootnoteReference"/>
          <w:rFonts w:cs="2  Mitra"/>
          <w:spacing w:val="-2"/>
          <w:sz w:val="28"/>
          <w:szCs w:val="28"/>
          <w:rtl/>
        </w:rPr>
        <w:footnoteReference w:id="4"/>
      </w:r>
    </w:p>
    <w:p w14:paraId="569DBCF3" w14:textId="77777777" w:rsidR="00A56423" w:rsidRDefault="00A56423" w:rsidP="00A56423">
      <w:pPr>
        <w:widowControl w:val="0"/>
        <w:tabs>
          <w:tab w:val="num" w:pos="1440"/>
        </w:tabs>
        <w:bidi/>
        <w:spacing w:before="240" w:line="268" w:lineRule="auto"/>
        <w:ind w:firstLine="289"/>
        <w:jc w:val="both"/>
        <w:rPr>
          <w:rFonts w:cs="2  Mitra" w:hint="cs"/>
          <w:sz w:val="28"/>
          <w:szCs w:val="28"/>
          <w:rtl/>
        </w:rPr>
      </w:pPr>
      <w:r>
        <w:rPr>
          <w:rFonts w:cs="2  Mitra" w:hint="cs"/>
          <w:sz w:val="28"/>
          <w:szCs w:val="28"/>
          <w:rtl/>
        </w:rPr>
        <w:t>امّا این اشکال بر مدّعای مرحوم میرزای نائینی وارد نیست؛ زیرا ترخیص در تطبیق مأمور به بر افراد ـ چه در عموم بدلی و چه در اطلاق ـ امری عقلی است، و آنچه مبتنی بر وضع یا بر مقدمات حکمت می‌باشد، عموم یا نفی خصوصیت مأمور به است. مراد مرحوم میرزای نائینی نيز اين است که در عموم بدلی، اساساً عمومی وجود ندارد، بلکه آنچه محقق است، نفی خصوصیت مأمور به با اخذ به اطلاق آن است.</w:t>
      </w:r>
    </w:p>
    <w:p w14:paraId="7C668DB7" w14:textId="77777777" w:rsidR="00A56423" w:rsidRDefault="00A56423" w:rsidP="00A56423">
      <w:pPr>
        <w:widowControl w:val="0"/>
        <w:tabs>
          <w:tab w:val="num" w:pos="1440"/>
        </w:tabs>
        <w:bidi/>
        <w:spacing w:before="240" w:line="268" w:lineRule="auto"/>
        <w:ind w:firstLine="289"/>
        <w:jc w:val="both"/>
        <w:rPr>
          <w:rFonts w:cs="2  Mitra" w:hint="cs"/>
          <w:sz w:val="28"/>
          <w:szCs w:val="28"/>
          <w:rtl/>
        </w:rPr>
      </w:pPr>
      <w:r>
        <w:rPr>
          <w:rFonts w:cs="2  Mitra" w:hint="cs"/>
          <w:sz w:val="28"/>
          <w:szCs w:val="28"/>
          <w:rtl/>
        </w:rPr>
        <w:t>بلکه مرحوم امام، اصل وجود تقسیم‌بندی سه</w:t>
      </w:r>
      <w:r>
        <w:rPr>
          <w:rFonts w:cs="2  Mitra" w:hint="cs"/>
          <w:sz w:val="28"/>
          <w:szCs w:val="28"/>
          <w:rtl/>
        </w:rPr>
        <w:softHyphen/>
        <w:t>گانه موجود در عموم را در اطلاق، منکر بوده و آن را منحصر به عموم می‌دانند</w:t>
      </w:r>
      <w:r>
        <w:rPr>
          <w:rStyle w:val="FootnoteReference"/>
          <w:rFonts w:cs="2  Mitra"/>
          <w:spacing w:val="-2"/>
          <w:sz w:val="28"/>
          <w:szCs w:val="28"/>
          <w:rtl/>
        </w:rPr>
        <w:footnoteReference w:id="5"/>
      </w:r>
      <w:r>
        <w:rPr>
          <w:rFonts w:cs="2  Mitra" w:hint="cs"/>
          <w:sz w:val="28"/>
          <w:szCs w:val="28"/>
          <w:rtl/>
        </w:rPr>
        <w:t xml:space="preserve"> که تحقیق این مطلب در مبحث مطلق و مقیّد خواهد آمد إن شاء الله. </w:t>
      </w:r>
    </w:p>
    <w:p w14:paraId="0557A4B6" w14:textId="77777777" w:rsidR="00A56423" w:rsidRDefault="00A56423" w:rsidP="00A56423">
      <w:pPr>
        <w:widowControl w:val="0"/>
        <w:tabs>
          <w:tab w:val="num" w:pos="1440"/>
        </w:tabs>
        <w:bidi/>
        <w:spacing w:before="240" w:line="268" w:lineRule="auto"/>
        <w:ind w:firstLine="289"/>
        <w:jc w:val="both"/>
        <w:rPr>
          <w:rFonts w:cs="2  Mitra" w:hint="cs"/>
          <w:sz w:val="28"/>
          <w:szCs w:val="28"/>
          <w:rtl/>
        </w:rPr>
      </w:pPr>
      <w:r>
        <w:rPr>
          <w:rFonts w:cs="2  Mitra" w:hint="cs"/>
          <w:sz w:val="28"/>
          <w:szCs w:val="28"/>
          <w:rtl/>
        </w:rPr>
        <w:t>اما مرحوم محقق عراقی در اشکال بر مدعای مرحوم ميرزای نائینی می</w:t>
      </w:r>
      <w:r>
        <w:rPr>
          <w:rFonts w:cs="2  Mitra" w:hint="cs"/>
          <w:sz w:val="28"/>
          <w:szCs w:val="28"/>
          <w:rtl/>
        </w:rPr>
        <w:softHyphen/>
        <w:t>فرمايد: در عام بدلی، تنها در مقام تطبیق است که بدلیت مطرح است، وگرنه در عالم عموم و شمول، همه افراد در عرض یکدیگر لحاظ شده</w:t>
      </w:r>
      <w:r>
        <w:rPr>
          <w:rFonts w:cs="2  Mitra" w:hint="cs"/>
          <w:sz w:val="28"/>
          <w:szCs w:val="28"/>
          <w:rtl/>
        </w:rPr>
        <w:softHyphen/>
        <w:t>اند. و روشن است که صرف بدلی ‌بودن تطبیق، مستلزم اين نيست که عام شامل همه افراد خود باشد.</w:t>
      </w:r>
      <w:r>
        <w:rPr>
          <w:rStyle w:val="FootnoteReference"/>
          <w:rFonts w:cs="2  Mitra"/>
          <w:spacing w:val="-2"/>
          <w:sz w:val="28"/>
          <w:szCs w:val="28"/>
          <w:rtl/>
        </w:rPr>
        <w:footnoteReference w:id="6"/>
      </w:r>
    </w:p>
    <w:p w14:paraId="0E569E15" w14:textId="77777777" w:rsidR="00A56423" w:rsidRDefault="00A56423" w:rsidP="00A56423">
      <w:pPr>
        <w:widowControl w:val="0"/>
        <w:tabs>
          <w:tab w:val="num" w:pos="1440"/>
        </w:tabs>
        <w:bidi/>
        <w:spacing w:before="240" w:line="268" w:lineRule="auto"/>
        <w:ind w:firstLine="289"/>
        <w:jc w:val="both"/>
        <w:rPr>
          <w:rFonts w:cs="2  Mitra" w:hint="cs"/>
          <w:sz w:val="28"/>
          <w:szCs w:val="28"/>
          <w:rtl/>
        </w:rPr>
      </w:pPr>
      <w:bookmarkStart w:id="1" w:name="_Hlk211074697"/>
      <w:r>
        <w:rPr>
          <w:rFonts w:cs="2  Mitra" w:hint="cs"/>
          <w:sz w:val="28"/>
          <w:szCs w:val="28"/>
          <w:rtl/>
        </w:rPr>
        <w:t xml:space="preserve">اما اين مدعا بر خلاف مدعای سابق ايشان است که در آن عموم بدلی را به نحوی تصوير کرده بودند که شمول، به نحو </w:t>
      </w:r>
      <w:r>
        <w:rPr>
          <w:rFonts w:cs="2  Mitra" w:hint="cs"/>
          <w:sz w:val="28"/>
          <w:szCs w:val="28"/>
          <w:rtl/>
        </w:rPr>
        <w:lastRenderedPageBreak/>
        <w:t>بدلی است، بر خلاف عموم استغراقی و مجموعی که در آنها افراد عام همگي در عرض هم قرار دارند.</w:t>
      </w:r>
    </w:p>
    <w:p w14:paraId="2BFB3571" w14:textId="77777777" w:rsidR="00A56423" w:rsidRDefault="00A56423" w:rsidP="00A56423">
      <w:pPr>
        <w:widowControl w:val="0"/>
        <w:tabs>
          <w:tab w:val="num" w:pos="1440"/>
        </w:tabs>
        <w:bidi/>
        <w:spacing w:before="240" w:line="268" w:lineRule="auto"/>
        <w:ind w:firstLine="289"/>
        <w:jc w:val="both"/>
        <w:rPr>
          <w:rFonts w:cs="2  Mitra" w:hint="cs"/>
          <w:sz w:val="28"/>
          <w:szCs w:val="28"/>
          <w:rtl/>
        </w:rPr>
      </w:pPr>
      <w:bookmarkStart w:id="2" w:name="_Hlk211074713"/>
      <w:bookmarkEnd w:id="1"/>
      <w:r>
        <w:rPr>
          <w:rFonts w:cs="2  Mitra" w:hint="cs"/>
          <w:sz w:val="28"/>
          <w:szCs w:val="28"/>
          <w:rtl/>
        </w:rPr>
        <w:t xml:space="preserve">بنابر اين در پاسخ به مدعای ميرزای نائینی بايد گفت: </w:t>
      </w:r>
      <w:bookmarkEnd w:id="2"/>
      <w:r>
        <w:rPr>
          <w:rFonts w:cs="2  Mitra" w:hint="cs"/>
          <w:sz w:val="28"/>
          <w:szCs w:val="28"/>
          <w:rtl/>
        </w:rPr>
        <w:t>همان گونه که در تبيين وجه اشتراک و افتراق اقسام عموم گذشت، در عموم بدلی نيز نسبتی که سبب می</w:t>
      </w:r>
      <w:r>
        <w:rPr>
          <w:rFonts w:cs="2  Mitra" w:hint="cs"/>
          <w:sz w:val="28"/>
          <w:szCs w:val="28"/>
          <w:rtl/>
        </w:rPr>
        <w:softHyphen/>
        <w:t>شود افراد مفهوم کلی مورد لحاظ واقع شوند، وجود دارد، حداکثر اين است که اين نسبت به گونه</w:t>
      </w:r>
      <w:r>
        <w:rPr>
          <w:rFonts w:cs="2  Mitra" w:hint="cs"/>
          <w:sz w:val="28"/>
          <w:szCs w:val="28"/>
          <w:rtl/>
        </w:rPr>
        <w:softHyphen/>
        <w:t>ای است که لحاظ آن افراد به نحو «بشرط لا» به نسبت به يکديگر می</w:t>
      </w:r>
      <w:r>
        <w:rPr>
          <w:rFonts w:cs="2  Mitra" w:hint="cs"/>
          <w:sz w:val="28"/>
          <w:szCs w:val="28"/>
          <w:rtl/>
        </w:rPr>
        <w:softHyphen/>
        <w:t>باشد.</w:t>
      </w:r>
    </w:p>
    <w:p w14:paraId="5F3DF129" w14:textId="77777777" w:rsidR="00A56423" w:rsidRDefault="00A56423" w:rsidP="00A56423">
      <w:pPr>
        <w:widowControl w:val="0"/>
        <w:tabs>
          <w:tab w:val="num" w:pos="1440"/>
        </w:tabs>
        <w:bidi/>
        <w:spacing w:before="240" w:line="268" w:lineRule="auto"/>
        <w:ind w:firstLine="289"/>
        <w:jc w:val="both"/>
        <w:rPr>
          <w:rFonts w:cs="2  Mitra" w:hint="cs"/>
          <w:sz w:val="28"/>
          <w:szCs w:val="28"/>
          <w:rtl/>
        </w:rPr>
      </w:pPr>
      <w:r>
        <w:rPr>
          <w:rFonts w:cs="2  Mitra" w:hint="cs"/>
          <w:sz w:val="28"/>
          <w:szCs w:val="28"/>
          <w:rtl/>
        </w:rPr>
        <w:t>در نتيجه ترخیص مکلّف در اختیار یکی از افراد مأمور به در عموم بدلی، برخاسته از نفی خصوصیت مأمور به با تمسک به اطلاق آن نیست، بلکه ناشی از چگونگی عموم و شمول آن نسبت به افراد خویش است.</w:t>
      </w:r>
    </w:p>
    <w:p w14:paraId="6659AC2D" w14:textId="77777777" w:rsidR="00A56423" w:rsidRDefault="00A56423" w:rsidP="00A56423">
      <w:pPr>
        <w:rPr>
          <w:rFonts w:cs="2  Mitra" w:hint="cs"/>
          <w:sz w:val="28"/>
          <w:szCs w:val="28"/>
          <w:rtl/>
        </w:rPr>
      </w:pPr>
      <w:r>
        <w:rPr>
          <w:rFonts w:cs="2  Mitra" w:hint="cs"/>
          <w:sz w:val="28"/>
          <w:szCs w:val="28"/>
          <w:rtl/>
        </w:rPr>
        <w:br w:type="page"/>
      </w:r>
    </w:p>
    <w:p w14:paraId="192F24F9" w14:textId="77777777" w:rsidR="00A56423" w:rsidRDefault="00A56423" w:rsidP="00A56423">
      <w:pPr>
        <w:widowControl w:val="0"/>
        <w:tabs>
          <w:tab w:val="num" w:pos="1440"/>
        </w:tabs>
        <w:bidi/>
        <w:spacing w:after="0"/>
        <w:ind w:firstLine="284"/>
        <w:jc w:val="both"/>
        <w:rPr>
          <w:rFonts w:cs="Abz-2 (Badr)" w:hint="cs"/>
          <w:sz w:val="28"/>
          <w:szCs w:val="28"/>
          <w:rtl/>
        </w:rPr>
      </w:pPr>
      <w:r>
        <w:rPr>
          <w:rFonts w:cs="Abz-2 (Badr)" w:hint="cs"/>
          <w:sz w:val="28"/>
          <w:szCs w:val="28"/>
          <w:rtl/>
        </w:rPr>
        <w:lastRenderedPageBreak/>
        <w:t>طرحنا في الجلسة السابقة دعوى المحقّق العراقي حول وجه اختلاف أقسام العامّ وبيّنّا الأساس الذي بنى عليه هذا التفصيل.</w:t>
      </w:r>
    </w:p>
    <w:p w14:paraId="40AA2A24" w14:textId="77777777" w:rsidR="00A56423" w:rsidRDefault="00A56423" w:rsidP="00A56423">
      <w:pPr>
        <w:widowControl w:val="0"/>
        <w:tabs>
          <w:tab w:val="num" w:pos="1440"/>
        </w:tabs>
        <w:bidi/>
        <w:spacing w:after="0"/>
        <w:ind w:firstLine="284"/>
        <w:jc w:val="both"/>
        <w:rPr>
          <w:rFonts w:cs="Abz-2 (Badr)" w:hint="cs"/>
          <w:sz w:val="28"/>
          <w:szCs w:val="28"/>
          <w:rtl/>
        </w:rPr>
      </w:pPr>
      <w:r>
        <w:rPr>
          <w:rFonts w:cs="Abz-2 (Badr)" w:hint="cs"/>
          <w:sz w:val="28"/>
          <w:szCs w:val="28"/>
          <w:rtl/>
        </w:rPr>
        <w:t>ولكن على ضوء ما تقدّم، يتّضح الإشكال فيما أفاده؛ إذ كما أنّ الفرق بين العامّ البدلي وبين القسمين الآخرين إنّما هو في طريقة لحاظ الأفراد، كذلك العامّ المجموعي والعامّ الاستغراقي يختلفان من هذه الجهة أيضاً، ولا يقتصر اختلافهما على كيفيّة تعلّق الحكم بهما. بل كما ذكرناه غير مرّة، لو لم يكن في نفس لحاظ الأفراد في العامّ المجموعي والعامّ الاستغراقي فرق ذاتي، لما أمكن أن تختلف كيفيّة تعلّق الحكم فيهما.</w:t>
      </w:r>
    </w:p>
    <w:p w14:paraId="5B1F7E12" w14:textId="77777777" w:rsidR="00A56423" w:rsidRDefault="00A56423" w:rsidP="00A56423">
      <w:pPr>
        <w:widowControl w:val="0"/>
        <w:tabs>
          <w:tab w:val="num" w:pos="1440"/>
        </w:tabs>
        <w:bidi/>
        <w:spacing w:after="0"/>
        <w:ind w:firstLine="284"/>
        <w:jc w:val="both"/>
        <w:rPr>
          <w:rFonts w:cs="Abz-2 (Badr)"/>
          <w:sz w:val="28"/>
          <w:szCs w:val="28"/>
        </w:rPr>
      </w:pPr>
      <w:r>
        <w:rPr>
          <w:rFonts w:cs="Abz-2 (Badr)" w:hint="cs"/>
          <w:sz w:val="28"/>
          <w:szCs w:val="28"/>
          <w:rtl/>
        </w:rPr>
        <w:t>وعلى هذا الأساس، وإن أمكن في كلّ من العامّ المجموعي والعامّ الاستغراقي التعبير عن شمول العامّ للأفراد بقولنا: «هذا وذاك»، إلّا أنّ الفرق بينهما أنّ العامّ المجموعي يلحظ فيه: «هذا بشرط ذاك وذاك بشرط هذا»، بينما يلحظ في العامّ الاستغراقي: «هذا لا بشرط بالنسبة إلى ذاك وذاك لا بشرط بالنسبة إلى هذا».</w:t>
      </w:r>
    </w:p>
    <w:p w14:paraId="62344DF5" w14:textId="77777777" w:rsidR="00A56423" w:rsidRDefault="00A56423" w:rsidP="00A56423">
      <w:pPr>
        <w:widowControl w:val="0"/>
        <w:tabs>
          <w:tab w:val="num" w:pos="1440"/>
        </w:tabs>
        <w:bidi/>
        <w:spacing w:after="0"/>
        <w:ind w:firstLine="284"/>
        <w:jc w:val="both"/>
        <w:rPr>
          <w:rFonts w:cs="Abz-2 (Badr)"/>
          <w:sz w:val="28"/>
          <w:szCs w:val="28"/>
        </w:rPr>
      </w:pPr>
      <w:r>
        <w:rPr>
          <w:rFonts w:cs="Abz-2 (Badr)" w:hint="cs"/>
          <w:sz w:val="28"/>
          <w:szCs w:val="28"/>
          <w:rtl/>
        </w:rPr>
        <w:t>فالنتيجة أنّ كلّ واحد من أقسام العامّ الثلاثة يتقابل مع القسمين الآخرين وأنّ ما ادّعاه المحقّق العراقي من أنّ التقابل إنّما هو بين العامّ البدلي والمقسم المشترك بين العامّ المجموعي والاستغراقي، غير قابل للالتزام.</w:t>
      </w:r>
    </w:p>
    <w:p w14:paraId="0B9F8C8B" w14:textId="77777777" w:rsidR="00A56423" w:rsidRDefault="00A56423" w:rsidP="00A56423">
      <w:pPr>
        <w:widowControl w:val="0"/>
        <w:tabs>
          <w:tab w:val="num" w:pos="1440"/>
        </w:tabs>
        <w:bidi/>
        <w:spacing w:after="0"/>
        <w:ind w:firstLine="284"/>
        <w:jc w:val="both"/>
        <w:rPr>
          <w:rFonts w:cs="Abz-2 (Badr)" w:hint="cs"/>
          <w:sz w:val="28"/>
          <w:szCs w:val="28"/>
          <w:rtl/>
        </w:rPr>
      </w:pPr>
      <w:r>
        <w:rPr>
          <w:rFonts w:cs="Abz-2 (Badr)" w:hint="cs"/>
          <w:sz w:val="28"/>
          <w:szCs w:val="28"/>
          <w:rtl/>
        </w:rPr>
        <w:t>ثمّ إنّ  الميرزا النائيني قد أشكل في كون العامّ البدلي من أقسام العامّ وعدّه من أقسام المطلق، فقال في هذا الصدد: إنّ العموم البدلي ليس في الواقع من أقسام العموم؛ لأنّ البدليّة تنافي معنى العموم، لأنّ متعلّق الحكم فيه فرد واحد مردّد، والفرد الواحد لا يعدّ عامّاً. نعم، يوجد فيه نوع شمول في البدليّة إلّا أنّ هذا الشمول لا يتحقّق في الحكم المتعلّق بالفرد على نحو البدليّة، بل لمّا کان هذا القسم من العموم مستفاداً غالباً من إطلاق المتعلّق، کان الأولی عدّه من أقسام المطلق لا من أقسام العامّ.</w:t>
      </w:r>
      <w:r>
        <w:rPr>
          <w:rStyle w:val="FootnoteReference"/>
          <w:rFonts w:cs="Abz-2 (Badr)"/>
          <w:spacing w:val="-2"/>
          <w:sz w:val="28"/>
          <w:szCs w:val="28"/>
          <w:rtl/>
        </w:rPr>
        <w:footnoteReference w:id="7"/>
      </w:r>
    </w:p>
    <w:p w14:paraId="02DF707D" w14:textId="77777777" w:rsidR="00A56423" w:rsidRDefault="00A56423" w:rsidP="00A56423">
      <w:pPr>
        <w:widowControl w:val="0"/>
        <w:tabs>
          <w:tab w:val="num" w:pos="1440"/>
        </w:tabs>
        <w:bidi/>
        <w:spacing w:after="0"/>
        <w:ind w:firstLine="284"/>
        <w:jc w:val="both"/>
        <w:rPr>
          <w:rFonts w:cs="Abz-2 (Badr)" w:hint="cs"/>
          <w:sz w:val="28"/>
          <w:szCs w:val="28"/>
          <w:rtl/>
        </w:rPr>
      </w:pPr>
      <w:r>
        <w:rPr>
          <w:rFonts w:cs="Abz-2 (Badr)" w:hint="cs"/>
          <w:sz w:val="28"/>
          <w:szCs w:val="28"/>
          <w:rtl/>
        </w:rPr>
        <w:t xml:space="preserve">وقد علّق السيّد الخوئي في حاشية الأجود على كلام أُستاذه معترضاً عليه فقال: إنّ العموم البدلي هو ما كان الترخيص في تطبيق المأمور به على الأفراد فيه مدلولاً لفظيّاً ومستنداً إلى الوضع ـ كما في قوله: «قلّد أيّ مجتهد شئت» ـ وبهذا يتميّز عن المطلق البدلي الذي يكون الترخيص فيه مستفاداً من مقدّمات الحكمة. وعليه فمدّعى الميرزا النائيني غير تامّ، لأنّ ملاك دخول العموم البدلي في أقسام العامّ هو استفادته من الدلالة الوضعيّة، وإلا فإنّ العموم الشمولي أيضاً قد يستفاد </w:t>
      </w:r>
      <w:r>
        <w:rPr>
          <w:rFonts w:cs="Abz-2 (Badr)" w:hint="cs"/>
          <w:sz w:val="28"/>
          <w:szCs w:val="28"/>
          <w:rtl/>
        </w:rPr>
        <w:lastRenderedPageBreak/>
        <w:t>أحياناً من الإطلاق وتماميّة مقدّمات الحكمة، كما في قوله تعالى: «</w:t>
      </w:r>
      <w:r>
        <w:rPr>
          <w:rFonts w:cs="QuranTaha" w:hint="cs"/>
          <w:sz w:val="26"/>
          <w:szCs w:val="26"/>
          <w:rtl/>
        </w:rPr>
        <w:t>أَحَلَّ اللَّهُ الْبَيْعَ</w:t>
      </w:r>
      <w:r>
        <w:rPr>
          <w:rFonts w:cs="Abz-2 (Badr)" w:hint="cs"/>
          <w:sz w:val="28"/>
          <w:szCs w:val="28"/>
          <w:rtl/>
        </w:rPr>
        <w:t>»</w:t>
      </w:r>
      <w:r>
        <w:rPr>
          <w:rStyle w:val="FootnoteReference"/>
          <w:rFonts w:cs="Abz-2 (Badr)"/>
          <w:spacing w:val="-2"/>
          <w:sz w:val="28"/>
          <w:szCs w:val="28"/>
          <w:rtl/>
        </w:rPr>
        <w:footnoteReference w:id="8"/>
      </w:r>
      <w:r>
        <w:rPr>
          <w:rFonts w:cs="Abz-2 (Badr)" w:hint="cs"/>
          <w:sz w:val="28"/>
          <w:szCs w:val="28"/>
          <w:rtl/>
        </w:rPr>
        <w:t>.</w:t>
      </w:r>
      <w:r>
        <w:rPr>
          <w:rStyle w:val="FootnoteReference"/>
          <w:rFonts w:cs="Abz-2 (Badr)"/>
          <w:spacing w:val="-2"/>
          <w:sz w:val="28"/>
          <w:szCs w:val="28"/>
          <w:rtl/>
        </w:rPr>
        <w:footnoteReference w:id="9"/>
      </w:r>
    </w:p>
    <w:p w14:paraId="50EB2388" w14:textId="77777777" w:rsidR="00A56423" w:rsidRDefault="00A56423" w:rsidP="00A56423">
      <w:pPr>
        <w:widowControl w:val="0"/>
        <w:tabs>
          <w:tab w:val="num" w:pos="1440"/>
        </w:tabs>
        <w:bidi/>
        <w:spacing w:after="0"/>
        <w:ind w:firstLine="284"/>
        <w:jc w:val="both"/>
        <w:rPr>
          <w:rFonts w:cs="Abz-2 (Badr)" w:hint="cs"/>
          <w:sz w:val="28"/>
          <w:szCs w:val="28"/>
          <w:rtl/>
        </w:rPr>
      </w:pPr>
      <w:r>
        <w:rPr>
          <w:rFonts w:cs="Abz-2 (Badr)" w:hint="cs"/>
          <w:sz w:val="28"/>
          <w:szCs w:val="28"/>
          <w:rtl/>
        </w:rPr>
        <w:t>إلا أنّ هذا الإشكال غير وارد على مدعى الميرزا النائيني، لأنّ الترخيص في تطبيق المأمور به على الأفراد ـ سواء في العموم البدلي أم في الإطلاق ـ أمر عقلي، وما يكون مستنداً إلى الوضع أو إلى تماميّة مقدّمات الحكمة إنّما هو العموم أو نفي خصوصيّة المأمور به. ومراد الميرزا النائيني هو أنّه لا يوجد في العموم البدلي عموم أصلاً، بل المتحقّق فيه هو نفي خصوصيّة المأمور به بالأخذ بإطلاقه.</w:t>
      </w:r>
    </w:p>
    <w:p w14:paraId="67BEF41E" w14:textId="77777777" w:rsidR="00A56423" w:rsidRDefault="00A56423" w:rsidP="00A56423">
      <w:pPr>
        <w:widowControl w:val="0"/>
        <w:tabs>
          <w:tab w:val="num" w:pos="1440"/>
        </w:tabs>
        <w:bidi/>
        <w:spacing w:after="0"/>
        <w:ind w:firstLine="284"/>
        <w:jc w:val="both"/>
        <w:rPr>
          <w:rFonts w:cs="Abz-2 (Badr)"/>
          <w:sz w:val="28"/>
          <w:szCs w:val="28"/>
        </w:rPr>
      </w:pPr>
      <w:r>
        <w:rPr>
          <w:rFonts w:cs="Abz-2 (Badr)" w:hint="cs"/>
          <w:sz w:val="28"/>
          <w:szCs w:val="28"/>
          <w:rtl/>
        </w:rPr>
        <w:t>بل إنّ السيّد الخميني أنكر أصل وجود هذا التقسيم الثلاثي في الإطلاق وعدّه مختصّاً بالعموم</w:t>
      </w:r>
      <w:r>
        <w:rPr>
          <w:rStyle w:val="FootnoteReference"/>
          <w:rFonts w:cs="Abz-2 (Badr)"/>
          <w:spacing w:val="-2"/>
          <w:sz w:val="28"/>
          <w:szCs w:val="28"/>
          <w:rtl/>
        </w:rPr>
        <w:footnoteReference w:id="10"/>
      </w:r>
      <w:r>
        <w:rPr>
          <w:rFonts w:cs="Abz-2 (Badr)" w:hint="cs"/>
          <w:sz w:val="28"/>
          <w:szCs w:val="28"/>
          <w:rtl/>
        </w:rPr>
        <w:t>، والبحث في تحقيق ذلك سيأتي في مبحث المطلق والمقيّد إن شاء الله تعالى.</w:t>
      </w:r>
    </w:p>
    <w:p w14:paraId="23A82055" w14:textId="77777777" w:rsidR="00A56423" w:rsidRDefault="00A56423" w:rsidP="00A56423">
      <w:pPr>
        <w:widowControl w:val="0"/>
        <w:tabs>
          <w:tab w:val="num" w:pos="1440"/>
        </w:tabs>
        <w:bidi/>
        <w:spacing w:after="0"/>
        <w:ind w:firstLine="284"/>
        <w:jc w:val="both"/>
        <w:rPr>
          <w:rFonts w:cs="Abz-2 (Badr)" w:hint="cs"/>
          <w:sz w:val="28"/>
          <w:szCs w:val="28"/>
          <w:rtl/>
        </w:rPr>
      </w:pPr>
      <w:r>
        <w:rPr>
          <w:rFonts w:cs="Abz-2 (Badr)" w:hint="cs"/>
          <w:sz w:val="28"/>
          <w:szCs w:val="28"/>
          <w:rtl/>
        </w:rPr>
        <w:t>وقال المحقّق العراقي في مقام الإشكال على مدعى الميرزا النائيني: إنّ البدليّة في العامّ البدلي انما تكون مطروحة في مقام التطبيق، وأمّا في مقام العموم والشمول فإنّ جميع الأفراد تلاحظ فيه في عرض واحد، ومن الواضح أنّ مجرّد كون التطبيق بدليّاً لا يستلزم أن لا يشمل العامّ جميع أفراده.</w:t>
      </w:r>
      <w:r>
        <w:rPr>
          <w:rStyle w:val="FootnoteReference"/>
          <w:rFonts w:cs="Abz-2 (Badr)"/>
          <w:spacing w:val="-2"/>
          <w:sz w:val="28"/>
          <w:szCs w:val="28"/>
          <w:rtl/>
        </w:rPr>
        <w:footnoteReference w:id="11"/>
      </w:r>
    </w:p>
    <w:p w14:paraId="03ED12E8" w14:textId="77777777" w:rsidR="00A56423" w:rsidRDefault="00A56423" w:rsidP="00A56423">
      <w:pPr>
        <w:widowControl w:val="0"/>
        <w:tabs>
          <w:tab w:val="num" w:pos="1440"/>
        </w:tabs>
        <w:bidi/>
        <w:spacing w:after="0"/>
        <w:ind w:firstLine="284"/>
        <w:jc w:val="both"/>
        <w:rPr>
          <w:rFonts w:cs="Abz-2 (Badr)"/>
          <w:sz w:val="28"/>
          <w:szCs w:val="28"/>
        </w:rPr>
      </w:pPr>
      <w:r>
        <w:rPr>
          <w:rFonts w:cs="Abz-2 (Badr)" w:hint="cs"/>
          <w:sz w:val="28"/>
          <w:szCs w:val="28"/>
          <w:rtl/>
        </w:rPr>
        <w:t>غير أنّ هذا المدعى على خلاف ما تقدّم منه سابقاً، حيث صوّر العموم البدلي على نحو يكون فيه الشمول بدليّاً، بخلاف العموم الاستغراقي والمجموعي اللذين تلاحظ فيهما الأفراد كلّها في عرض واحد.</w:t>
      </w:r>
    </w:p>
    <w:p w14:paraId="38FB0056" w14:textId="77777777" w:rsidR="00A56423" w:rsidRDefault="00A56423" w:rsidP="00A56423">
      <w:pPr>
        <w:widowControl w:val="0"/>
        <w:tabs>
          <w:tab w:val="num" w:pos="1440"/>
        </w:tabs>
        <w:bidi/>
        <w:spacing w:after="0"/>
        <w:ind w:firstLine="284"/>
        <w:jc w:val="both"/>
        <w:rPr>
          <w:rFonts w:cs="Abz-2 (Badr)"/>
          <w:sz w:val="28"/>
          <w:szCs w:val="28"/>
        </w:rPr>
      </w:pPr>
      <w:r>
        <w:rPr>
          <w:rFonts w:cs="Abz-2 (Badr)" w:hint="cs"/>
          <w:sz w:val="28"/>
          <w:szCs w:val="28"/>
          <w:rtl/>
        </w:rPr>
        <w:t>فينبغي أن يقال في الجواب عن مدعى الميرزا النائيني: إنّه كما تقدّم في بيان وجه الاشتراك والافتراق بين أقسام العموم، فإنّ في العموم البدلي أيضاً توجد النسبة التي توجب لحاظ أفراد المفهوم الكلّي، غاية الأمر أنّ هذه النسبة تكون على نحو «بشرط لا» بالنسبة إلى بعضها بعضاً.</w:t>
      </w:r>
    </w:p>
    <w:p w14:paraId="1048A39C" w14:textId="77777777" w:rsidR="00A56423" w:rsidRDefault="00A56423" w:rsidP="00A56423">
      <w:pPr>
        <w:widowControl w:val="0"/>
        <w:tabs>
          <w:tab w:val="num" w:pos="1440"/>
        </w:tabs>
        <w:bidi/>
        <w:spacing w:after="0"/>
        <w:ind w:firstLine="284"/>
        <w:jc w:val="both"/>
        <w:rPr>
          <w:rFonts w:cs="Abz-2 (Badr)" w:hint="cs"/>
          <w:sz w:val="28"/>
          <w:szCs w:val="28"/>
          <w:rtl/>
        </w:rPr>
      </w:pPr>
      <w:r>
        <w:rPr>
          <w:rFonts w:cs="Abz-2 (Badr)" w:hint="cs"/>
          <w:sz w:val="28"/>
          <w:szCs w:val="28"/>
          <w:rtl/>
        </w:rPr>
        <w:t>وعليه فإنّ ترخيص المكلّف في اختيار أحد أفراد المأمور به في العموم البدلي، ليس ناشئاً عن نفي خصوصيّة المأمور به بالتمسّك بإطلاقه، بل هو مستند إلى كيفيّة العموم وشموله للأفراد في حدّ نفسه.</w:t>
      </w:r>
    </w:p>
    <w:p w14:paraId="7D9979DE" w14:textId="26D41A3F" w:rsidR="001B24FC" w:rsidRPr="00A56423" w:rsidRDefault="001B24FC" w:rsidP="00A56423">
      <w:pPr>
        <w:rPr>
          <w:rtl/>
        </w:rPr>
      </w:pPr>
    </w:p>
    <w:sectPr w:rsidR="001B24FC" w:rsidRPr="00A56423" w:rsidSect="008666ED">
      <w:headerReference w:type="default" r:id="rId7"/>
      <w:footerReference w:type="default" r:id="rId8"/>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DA9B5" w14:textId="77777777" w:rsidR="007420DB" w:rsidRDefault="007420DB" w:rsidP="00C336C5">
      <w:pPr>
        <w:spacing w:after="0" w:line="240" w:lineRule="auto"/>
      </w:pPr>
      <w:r>
        <w:separator/>
      </w:r>
    </w:p>
  </w:endnote>
  <w:endnote w:type="continuationSeparator" w:id="0">
    <w:p w14:paraId="2F55FD15" w14:textId="77777777" w:rsidR="007420DB" w:rsidRDefault="007420DB" w:rsidP="00C336C5">
      <w:pPr>
        <w:spacing w:after="0" w:line="240" w:lineRule="auto"/>
      </w:pPr>
      <w:r>
        <w:continuationSeparator/>
      </w:r>
    </w:p>
  </w:endnote>
  <w:endnote w:type="continuationNotice" w:id="1">
    <w:p w14:paraId="361E3769" w14:textId="77777777" w:rsidR="007420DB" w:rsidRDefault="007420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E952B" w14:textId="77777777" w:rsidR="007420DB" w:rsidRDefault="007420DB" w:rsidP="00C336C5">
      <w:pPr>
        <w:bidi/>
        <w:spacing w:after="0" w:line="240" w:lineRule="auto"/>
      </w:pPr>
      <w:r>
        <w:separator/>
      </w:r>
    </w:p>
  </w:footnote>
  <w:footnote w:type="continuationSeparator" w:id="0">
    <w:p w14:paraId="35C0D771" w14:textId="77777777" w:rsidR="007420DB" w:rsidRDefault="007420DB" w:rsidP="00C336C5">
      <w:pPr>
        <w:spacing w:after="0" w:line="240" w:lineRule="auto"/>
      </w:pPr>
      <w:r>
        <w:continuationSeparator/>
      </w:r>
    </w:p>
  </w:footnote>
  <w:footnote w:type="continuationNotice" w:id="1">
    <w:p w14:paraId="58FD5FBA" w14:textId="77777777" w:rsidR="007420DB" w:rsidRDefault="007420DB">
      <w:pPr>
        <w:spacing w:after="0" w:line="240" w:lineRule="auto"/>
      </w:pPr>
    </w:p>
  </w:footnote>
  <w:footnote w:id="2">
    <w:p w14:paraId="4DB94C45" w14:textId="77777777" w:rsidR="00A56423" w:rsidRDefault="00A56423" w:rsidP="00A56423">
      <w:pPr>
        <w:pStyle w:val="FootnoteText"/>
        <w:bidi/>
        <w:jc w:val="left"/>
        <w:rPr>
          <w:rFonts w:cs="Abz-2 (Badr)" w:hint="cs"/>
          <w:rtl/>
          <w:lang w:bidi="fa-IR"/>
        </w:rPr>
      </w:pPr>
      <w:r>
        <w:rPr>
          <w:rFonts w:cs="Abz-2 (Badr)"/>
          <w:lang w:bidi="fa-IR"/>
        </w:rPr>
        <w:footnoteRef/>
      </w:r>
      <w:r>
        <w:rPr>
          <w:rFonts w:cs="Abz-2 (Badr)" w:hint="cs"/>
          <w:rtl/>
          <w:lang w:bidi="fa-IR"/>
        </w:rPr>
        <w:t xml:space="preserve"> ـ راجع: أجود التقريرات،ج1،ص443.</w:t>
      </w:r>
    </w:p>
  </w:footnote>
  <w:footnote w:id="3">
    <w:p w14:paraId="58AFE089" w14:textId="77777777" w:rsidR="00A56423" w:rsidRDefault="00A56423" w:rsidP="00A56423">
      <w:pPr>
        <w:pStyle w:val="FootnoteText"/>
        <w:bidi/>
        <w:jc w:val="left"/>
        <w:rPr>
          <w:rFonts w:cs="Abz-2 (Badr)" w:hint="cs"/>
          <w:rtl/>
          <w:lang w:bidi="fa-IR"/>
        </w:rPr>
      </w:pPr>
      <w:r>
        <w:rPr>
          <w:rFonts w:cs="Abz-2 (Badr)"/>
          <w:lang w:bidi="fa-IR"/>
        </w:rPr>
        <w:footnoteRef/>
      </w:r>
      <w:r>
        <w:rPr>
          <w:rFonts w:cs="Abz-2 (Badr)" w:hint="cs"/>
          <w:rtl/>
          <w:lang w:bidi="fa-IR"/>
        </w:rPr>
        <w:t xml:space="preserve"> </w:t>
      </w:r>
      <w:r>
        <w:rPr>
          <w:rFonts w:cs="Abz-2 (Badr)" w:hint="cs"/>
          <w:rtl/>
          <w:lang w:bidi="fa-IR"/>
        </w:rPr>
        <w:t xml:space="preserve">ـ </w:t>
      </w:r>
      <w:r>
        <w:rPr>
          <w:rFonts w:cs="Abz-2 (Badr)" w:hint="cs"/>
          <w:rtl/>
          <w:lang w:bidi="fa-IR"/>
        </w:rPr>
        <w:t>البقرة(2):275.</w:t>
      </w:r>
    </w:p>
  </w:footnote>
  <w:footnote w:id="4">
    <w:p w14:paraId="6E45D011" w14:textId="77777777" w:rsidR="00A56423" w:rsidRDefault="00A56423" w:rsidP="00A56423">
      <w:pPr>
        <w:pStyle w:val="FootnoteText"/>
        <w:bidi/>
        <w:jc w:val="left"/>
        <w:rPr>
          <w:rFonts w:cs="Abz-2 (Badr)" w:hint="cs"/>
          <w:rtl/>
          <w:lang w:bidi="fa-IR"/>
        </w:rPr>
      </w:pPr>
      <w:r>
        <w:rPr>
          <w:rFonts w:cs="Abz-2 (Badr)"/>
          <w:lang w:bidi="fa-IR"/>
        </w:rPr>
        <w:footnoteRef/>
      </w:r>
      <w:r>
        <w:rPr>
          <w:rFonts w:cs="Abz-2 (Badr)" w:hint="cs"/>
          <w:rtl/>
          <w:lang w:bidi="fa-IR"/>
        </w:rPr>
        <w:t xml:space="preserve"> </w:t>
      </w:r>
      <w:r>
        <w:rPr>
          <w:rFonts w:cs="Abz-2 (Badr)" w:hint="cs"/>
          <w:rtl/>
          <w:lang w:bidi="fa-IR"/>
        </w:rPr>
        <w:t xml:space="preserve">ـ </w:t>
      </w:r>
      <w:r>
        <w:rPr>
          <w:rFonts w:cs="Abz-2 (Badr)" w:hint="cs"/>
          <w:rtl/>
          <w:lang w:bidi="fa-IR"/>
        </w:rPr>
        <w:t>راجع: أجود التقريرات،همان.</w:t>
      </w:r>
    </w:p>
  </w:footnote>
  <w:footnote w:id="5">
    <w:p w14:paraId="074C1663" w14:textId="77777777" w:rsidR="00A56423" w:rsidRDefault="00A56423" w:rsidP="00A56423">
      <w:pPr>
        <w:pStyle w:val="FootnoteText"/>
        <w:bidi/>
        <w:jc w:val="left"/>
        <w:rPr>
          <w:rFonts w:cs="Abz-2 (Badr)" w:hint="cs"/>
          <w:rtl/>
          <w:lang w:bidi="fa-IR"/>
        </w:rPr>
      </w:pPr>
      <w:r>
        <w:rPr>
          <w:rFonts w:cs="Abz-2 (Badr)"/>
          <w:lang w:bidi="fa-IR"/>
        </w:rPr>
        <w:footnoteRef/>
      </w:r>
      <w:r>
        <w:rPr>
          <w:rFonts w:cs="Abz-2 (Badr)" w:hint="cs"/>
          <w:rtl/>
          <w:lang w:bidi="fa-IR"/>
        </w:rPr>
        <w:t xml:space="preserve"> </w:t>
      </w:r>
      <w:r>
        <w:rPr>
          <w:rFonts w:cs="Abz-2 (Badr)" w:hint="cs"/>
          <w:rtl/>
          <w:lang w:bidi="fa-IR"/>
        </w:rPr>
        <w:t>ـ راجع: مناهج الوصول،ج2،ص235.</w:t>
      </w:r>
    </w:p>
  </w:footnote>
  <w:footnote w:id="6">
    <w:p w14:paraId="0D039156" w14:textId="77777777" w:rsidR="00A56423" w:rsidRDefault="00A56423" w:rsidP="00A56423">
      <w:pPr>
        <w:pStyle w:val="FootnoteText"/>
        <w:bidi/>
        <w:jc w:val="left"/>
        <w:rPr>
          <w:rFonts w:cs="Abz-2 (Badr)" w:hint="cs"/>
          <w:rtl/>
          <w:lang w:bidi="fa-IR"/>
        </w:rPr>
      </w:pPr>
      <w:r>
        <w:rPr>
          <w:rFonts w:cs="Abz-2 (Badr)"/>
          <w:lang w:bidi="fa-IR"/>
        </w:rPr>
        <w:footnoteRef/>
      </w:r>
      <w:r>
        <w:rPr>
          <w:rFonts w:cs="Abz-2 (Badr)" w:hint="cs"/>
          <w:rtl/>
          <w:lang w:bidi="fa-IR"/>
        </w:rPr>
        <w:t xml:space="preserve"> </w:t>
      </w:r>
      <w:r>
        <w:rPr>
          <w:rFonts w:cs="Abz-2 (Badr)" w:hint="cs"/>
          <w:rtl/>
          <w:lang w:bidi="fa-IR"/>
        </w:rPr>
        <w:t xml:space="preserve">ـ </w:t>
      </w:r>
      <w:r>
        <w:rPr>
          <w:rFonts w:cs="Abz-2 (Badr)" w:hint="cs"/>
          <w:rtl/>
          <w:lang w:bidi="fa-IR"/>
        </w:rPr>
        <w:t>راجع: نهاية الأفکار،ج2،ص506.</w:t>
      </w:r>
    </w:p>
  </w:footnote>
  <w:footnote w:id="7">
    <w:p w14:paraId="5CEB3AA6" w14:textId="77777777" w:rsidR="00A56423" w:rsidRDefault="00A56423" w:rsidP="00A56423">
      <w:pPr>
        <w:pStyle w:val="FootnoteText"/>
        <w:bidi/>
        <w:jc w:val="left"/>
        <w:rPr>
          <w:rFonts w:cs="Abz-2 (Badr)" w:hint="cs"/>
          <w:rtl/>
          <w:lang w:bidi="fa-IR"/>
        </w:rPr>
      </w:pPr>
      <w:r>
        <w:rPr>
          <w:rFonts w:cs="Abz-2 (Badr)"/>
          <w:lang w:bidi="fa-IR"/>
        </w:rPr>
        <w:footnoteRef/>
      </w:r>
      <w:r>
        <w:rPr>
          <w:rFonts w:cs="Abz-2 (Badr)" w:hint="cs"/>
          <w:rtl/>
          <w:lang w:bidi="fa-IR"/>
        </w:rPr>
        <w:t xml:space="preserve"> </w:t>
      </w:r>
      <w:r>
        <w:rPr>
          <w:rFonts w:cs="Abz-2 (Badr)" w:hint="cs"/>
          <w:rtl/>
          <w:lang w:bidi="fa-IR"/>
        </w:rPr>
        <w:t xml:space="preserve">ـ </w:t>
      </w:r>
      <w:r>
        <w:rPr>
          <w:rFonts w:cs="Abz-2 (Badr)" w:hint="cs"/>
          <w:rtl/>
          <w:lang w:bidi="fa-IR"/>
        </w:rPr>
        <w:t>راجع: أجود التقريرات،ج1،ص443.</w:t>
      </w:r>
    </w:p>
  </w:footnote>
  <w:footnote w:id="8">
    <w:p w14:paraId="4735EB2A" w14:textId="77777777" w:rsidR="00A56423" w:rsidRDefault="00A56423" w:rsidP="00A56423">
      <w:pPr>
        <w:pStyle w:val="FootnoteText"/>
        <w:bidi/>
        <w:jc w:val="left"/>
        <w:rPr>
          <w:rFonts w:cs="Abz-2 (Badr)" w:hint="cs"/>
          <w:rtl/>
          <w:lang w:bidi="fa-IR"/>
        </w:rPr>
      </w:pPr>
      <w:r>
        <w:rPr>
          <w:rFonts w:cs="Abz-2 (Badr)"/>
          <w:lang w:bidi="fa-IR"/>
        </w:rPr>
        <w:footnoteRef/>
      </w:r>
      <w:r>
        <w:rPr>
          <w:rFonts w:cs="Abz-2 (Badr)" w:hint="cs"/>
          <w:rtl/>
          <w:lang w:bidi="fa-IR"/>
        </w:rPr>
        <w:t xml:space="preserve"> </w:t>
      </w:r>
      <w:r>
        <w:rPr>
          <w:rFonts w:cs="Abz-2 (Badr)" w:hint="cs"/>
          <w:rtl/>
          <w:lang w:bidi="fa-IR"/>
        </w:rPr>
        <w:t xml:space="preserve">ـ </w:t>
      </w:r>
      <w:r>
        <w:rPr>
          <w:rFonts w:cs="Abz-2 (Badr)" w:hint="cs"/>
          <w:rtl/>
          <w:lang w:bidi="fa-IR"/>
        </w:rPr>
        <w:t>البقرة(2):275.</w:t>
      </w:r>
    </w:p>
  </w:footnote>
  <w:footnote w:id="9">
    <w:p w14:paraId="7A8B8392" w14:textId="77777777" w:rsidR="00A56423" w:rsidRDefault="00A56423" w:rsidP="00A56423">
      <w:pPr>
        <w:pStyle w:val="FootnoteText"/>
        <w:bidi/>
        <w:jc w:val="left"/>
        <w:rPr>
          <w:rFonts w:cs="Abz-2 (Badr)" w:hint="cs"/>
          <w:rtl/>
          <w:lang w:bidi="fa-IR"/>
        </w:rPr>
      </w:pPr>
      <w:r>
        <w:rPr>
          <w:rFonts w:cs="Abz-2 (Badr)"/>
          <w:lang w:bidi="fa-IR"/>
        </w:rPr>
        <w:footnoteRef/>
      </w:r>
      <w:r>
        <w:rPr>
          <w:rFonts w:cs="Abz-2 (Badr)" w:hint="cs"/>
          <w:rtl/>
          <w:lang w:bidi="fa-IR"/>
        </w:rPr>
        <w:t xml:space="preserve"> </w:t>
      </w:r>
      <w:r>
        <w:rPr>
          <w:rFonts w:cs="Abz-2 (Badr)" w:hint="cs"/>
          <w:rtl/>
          <w:lang w:bidi="fa-IR"/>
        </w:rPr>
        <w:t xml:space="preserve">ـ </w:t>
      </w:r>
      <w:r>
        <w:rPr>
          <w:rFonts w:cs="Abz-2 (Badr)" w:hint="cs"/>
          <w:rtl/>
          <w:lang w:bidi="fa-IR"/>
        </w:rPr>
        <w:t>راجع: أجود التقريرات،همان.</w:t>
      </w:r>
    </w:p>
  </w:footnote>
  <w:footnote w:id="10">
    <w:p w14:paraId="554365A8" w14:textId="77777777" w:rsidR="00A56423" w:rsidRDefault="00A56423" w:rsidP="00A56423">
      <w:pPr>
        <w:pStyle w:val="FootnoteText"/>
        <w:bidi/>
        <w:jc w:val="left"/>
        <w:rPr>
          <w:rFonts w:cs="Abz-2 (Badr)" w:hint="cs"/>
          <w:rtl/>
          <w:lang w:bidi="fa-IR"/>
        </w:rPr>
      </w:pPr>
      <w:r>
        <w:rPr>
          <w:rFonts w:cs="Abz-2 (Badr)"/>
          <w:lang w:bidi="fa-IR"/>
        </w:rPr>
        <w:footnoteRef/>
      </w:r>
      <w:r>
        <w:rPr>
          <w:rFonts w:cs="Abz-2 (Badr)" w:hint="cs"/>
          <w:rtl/>
          <w:lang w:bidi="fa-IR"/>
        </w:rPr>
        <w:t xml:space="preserve"> </w:t>
      </w:r>
      <w:r>
        <w:rPr>
          <w:rFonts w:cs="Abz-2 (Badr)" w:hint="cs"/>
          <w:rtl/>
          <w:lang w:bidi="fa-IR"/>
        </w:rPr>
        <w:t xml:space="preserve">ـ </w:t>
      </w:r>
      <w:r>
        <w:rPr>
          <w:rFonts w:cs="Abz-2 (Badr)" w:hint="cs"/>
          <w:rtl/>
          <w:lang w:bidi="fa-IR"/>
        </w:rPr>
        <w:t>راجع: مناهج الوصول،ج2،ص235.</w:t>
      </w:r>
    </w:p>
  </w:footnote>
  <w:footnote w:id="11">
    <w:p w14:paraId="159FD459" w14:textId="77777777" w:rsidR="00A56423" w:rsidRDefault="00A56423" w:rsidP="00A56423">
      <w:pPr>
        <w:pStyle w:val="FootnoteText"/>
        <w:bidi/>
        <w:jc w:val="left"/>
        <w:rPr>
          <w:rFonts w:cs="Abz-2 (Badr)" w:hint="cs"/>
          <w:rtl/>
          <w:lang w:bidi="fa-IR"/>
        </w:rPr>
      </w:pPr>
      <w:r>
        <w:rPr>
          <w:rFonts w:cs="Abz-2 (Badr)"/>
          <w:lang w:bidi="fa-IR"/>
        </w:rPr>
        <w:footnoteRef/>
      </w:r>
      <w:r>
        <w:rPr>
          <w:rFonts w:cs="Abz-2 (Badr)" w:hint="cs"/>
          <w:rtl/>
          <w:lang w:bidi="fa-IR"/>
        </w:rPr>
        <w:t xml:space="preserve"> </w:t>
      </w:r>
      <w:r>
        <w:rPr>
          <w:rFonts w:cs="Abz-2 (Badr)" w:hint="cs"/>
          <w:rtl/>
          <w:lang w:bidi="fa-IR"/>
        </w:rPr>
        <w:t xml:space="preserve">ـ </w:t>
      </w:r>
      <w:r>
        <w:rPr>
          <w:rFonts w:cs="Abz-2 (Badr)" w:hint="cs"/>
          <w:rtl/>
          <w:lang w:bidi="fa-IR"/>
        </w:rPr>
        <w:t>راجع: نهاية الأفکار،ج2،ص506.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5ECC9104"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A56423">
                            <w:rPr>
                              <w:rFonts w:cs="B Mehr" w:hint="cs"/>
                              <w:rtl/>
                              <w:lang w:bidi="fa-IR"/>
                            </w:rPr>
                            <w:t>یک</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A56423">
                            <w:rPr>
                              <w:rFonts w:cs="B Mehr" w:hint="cs"/>
                              <w:rtl/>
                              <w:lang w:bidi="fa-IR"/>
                            </w:rPr>
                            <w:t>20</w:t>
                          </w:r>
                          <w:r w:rsidR="0094174A">
                            <w:rPr>
                              <w:rFonts w:cs="B Mehr" w:hint="cs"/>
                              <w:rtl/>
                              <w:lang w:bidi="fa-IR"/>
                            </w:rPr>
                            <w:t xml:space="preserve">   </w:t>
                          </w:r>
                          <w:r w:rsidR="00B2630B">
                            <w:rPr>
                              <w:rFonts w:cs="B Mehr" w:hint="cs"/>
                              <w:rtl/>
                              <w:lang w:bidi="fa-IR"/>
                            </w:rPr>
                            <w:t>مهر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5ECC9104"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A56423">
                      <w:rPr>
                        <w:rFonts w:cs="B Mehr" w:hint="cs"/>
                        <w:rtl/>
                        <w:lang w:bidi="fa-IR"/>
                      </w:rPr>
                      <w:t>یک</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A56423">
                      <w:rPr>
                        <w:rFonts w:cs="B Mehr" w:hint="cs"/>
                        <w:rtl/>
                        <w:lang w:bidi="fa-IR"/>
                      </w:rPr>
                      <w:t>20</w:t>
                    </w:r>
                    <w:r w:rsidR="0094174A">
                      <w:rPr>
                        <w:rFonts w:cs="B Mehr" w:hint="cs"/>
                        <w:rtl/>
                        <w:lang w:bidi="fa-IR"/>
                      </w:rPr>
                      <w:t xml:space="preserve">   </w:t>
                    </w:r>
                    <w:r w:rsidR="00B2630B">
                      <w:rPr>
                        <w:rFonts w:cs="B Mehr" w:hint="cs"/>
                        <w:rtl/>
                        <w:lang w:bidi="fa-IR"/>
                      </w:rPr>
                      <w:t>مهر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5B20"/>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FA9"/>
    <w:rsid w:val="00120694"/>
    <w:rsid w:val="0012137D"/>
    <w:rsid w:val="001227F2"/>
    <w:rsid w:val="00122C40"/>
    <w:rsid w:val="00123FAA"/>
    <w:rsid w:val="00125A9D"/>
    <w:rsid w:val="00125C91"/>
    <w:rsid w:val="00126016"/>
    <w:rsid w:val="001262DF"/>
    <w:rsid w:val="00126732"/>
    <w:rsid w:val="0013020B"/>
    <w:rsid w:val="0013025B"/>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0DB"/>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423"/>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4101</TotalTime>
  <Pages>1</Pages>
  <Words>1041</Words>
  <Characters>5938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1210</cp:revision>
  <cp:lastPrinted>2025-04-15T09:36:00Z</cp:lastPrinted>
  <dcterms:created xsi:type="dcterms:W3CDTF">2022-10-16T08:36:00Z</dcterms:created>
  <dcterms:modified xsi:type="dcterms:W3CDTF">2025-10-12T15:34:00Z</dcterms:modified>
</cp:coreProperties>
</file>