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84282" w14:textId="77777777" w:rsidR="00056817" w:rsidRDefault="00056817" w:rsidP="00056817">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62DC4A85" w14:textId="77777777" w:rsidR="00056817" w:rsidRDefault="00056817" w:rsidP="00056817">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3823CCB3" w14:textId="77777777" w:rsidR="00056817" w:rsidRDefault="00056817" w:rsidP="00056817">
      <w:pPr>
        <w:widowControl w:val="0"/>
        <w:bidi/>
        <w:spacing w:after="240"/>
        <w:jc w:val="center"/>
        <w:rPr>
          <w:rFonts w:cs="B Mitra" w:hint="cs"/>
          <w:b/>
          <w:bCs/>
          <w:sz w:val="32"/>
          <w:szCs w:val="32"/>
          <w:rtl/>
          <w:lang w:bidi="fa-IR"/>
        </w:rPr>
      </w:pPr>
      <w:r>
        <w:rPr>
          <w:rFonts w:cs="B Mitra" w:hint="cs"/>
          <w:b/>
          <w:bCs/>
          <w:sz w:val="32"/>
          <w:szCs w:val="32"/>
          <w:rtl/>
          <w:lang w:bidi="fa-IR"/>
        </w:rPr>
        <w:t>جلسه 948</w:t>
      </w:r>
    </w:p>
    <w:bookmarkEnd w:id="0"/>
    <w:p w14:paraId="5070B695" w14:textId="77777777" w:rsidR="00056817" w:rsidRDefault="00056817" w:rsidP="00056817">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t>در بيان ادامه اشکالاتی که بر مدعای مرحوم محقق اصفهانی وارد است گفته می</w:t>
      </w:r>
      <w:r>
        <w:rPr>
          <w:rFonts w:cs="2  Mitra" w:hint="cs"/>
          <w:sz w:val="28"/>
          <w:szCs w:val="28"/>
          <w:rtl/>
        </w:rPr>
        <w:softHyphen/>
        <w:t>شود: لازمه آنچه ايشان ادعا کرده‌اند مبنی بر این‌که در عام استغراقی، جهت وحدت عام در نظر گرفته نمی‌شود، تعدد حکم است نه وحدت آن؛ زیرا در صورت لحاظ جهت کثرت در موضوع، بدیهی است که حکم نیز باید متعدّد باشد و حکم واحد نمی‌تواند به موضوعات متعدّد تعلق گیرد.</w:t>
      </w:r>
    </w:p>
    <w:p w14:paraId="0F195DE1" w14:textId="77777777" w:rsidR="00056817" w:rsidRDefault="00056817" w:rsidP="00056817">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t>بنابر این وحدت انشاء در اینجا، وحدتی ظاهری است و باید پذیرفت که انشاء واحد، به تعداد احکامی که به موضوعات متعدد تعلق می‌گیرند، منحل می‌شود.</w:t>
      </w:r>
    </w:p>
    <w:p w14:paraId="5B333BDB" w14:textId="77777777" w:rsidR="00056817" w:rsidRDefault="00056817" w:rsidP="00056817">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t>پس وجه این‌که بعث به تعداد افراد عام متعدّد است، همان تعدد حقیقی انشاء است، نه آن‌که انشاء واحد به داعی جعل داعی نسبت به هر فرد از افراد عام صورت گرفته باشد.</w:t>
      </w:r>
    </w:p>
    <w:p w14:paraId="578C2676" w14:textId="77777777" w:rsidR="00056817" w:rsidRDefault="00056817" w:rsidP="00056817">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t>امّا دليل انحلال حکم به تعداد افراد عام استغراقی بر اساس آنچه پیش‌تر دربارۀ نحوۀ لحاظ افراد در عام استغراقی گذشت، اين است که چون افراد عام استغراقی، به نحو «لا بشرط» نسبت به یکدیگر لحاظ می‌شوند و تقدیم یکی از آنها بر دیگران به عنوان موضوع حکم، فاقد هرگونه مرجّح است، نتیجه آن است که به حکم عقل، حکمی که به عام استغراقی تعلق گرفته، به تعداد افراد عام منحل می‌گردد و این امر کاشف از آن است که مراد جدّی متکلّم نيز تعلق احکام متعدد به افراد متعدد عام بوده است، به اين معنا که مثلاً مراد وی از «</w:t>
      </w:r>
      <w:r>
        <w:rPr>
          <w:rFonts w:cs="Abz-2 (Badr)" w:hint="cs"/>
          <w:sz w:val="28"/>
          <w:szCs w:val="28"/>
          <w:rtl/>
        </w:rPr>
        <w:t>أکرم العلماء</w:t>
      </w:r>
      <w:r>
        <w:rPr>
          <w:rFonts w:cs="2  Mitra" w:hint="cs"/>
          <w:sz w:val="28"/>
          <w:szCs w:val="28"/>
          <w:rtl/>
        </w:rPr>
        <w:t>»، «</w:t>
      </w:r>
      <w:r>
        <w:rPr>
          <w:rFonts w:cs="Abz-2 (Badr)" w:hint="cs"/>
          <w:sz w:val="28"/>
          <w:szCs w:val="28"/>
          <w:rtl/>
        </w:rPr>
        <w:t>أکرم زيداً العالم</w:t>
      </w:r>
      <w:r>
        <w:rPr>
          <w:rFonts w:cs="2  Mitra" w:hint="cs"/>
          <w:sz w:val="28"/>
          <w:szCs w:val="28"/>
          <w:rtl/>
        </w:rPr>
        <w:t>» و «</w:t>
      </w:r>
      <w:r>
        <w:rPr>
          <w:rFonts w:cs="Abz-2 (Badr)" w:hint="cs"/>
          <w:sz w:val="28"/>
          <w:szCs w:val="28"/>
          <w:rtl/>
        </w:rPr>
        <w:t>أکرم عمراً العالم</w:t>
      </w:r>
      <w:r>
        <w:rPr>
          <w:rFonts w:cs="2  Mitra" w:hint="cs"/>
          <w:sz w:val="28"/>
          <w:szCs w:val="28"/>
          <w:rtl/>
        </w:rPr>
        <w:t>» و «</w:t>
      </w:r>
      <w:r>
        <w:rPr>
          <w:rFonts w:cs="Abz-2 (Badr)" w:hint="cs"/>
          <w:sz w:val="28"/>
          <w:szCs w:val="28"/>
          <w:rtl/>
        </w:rPr>
        <w:t>أکرم بکراً العالم</w:t>
      </w:r>
      <w:r>
        <w:rPr>
          <w:rFonts w:cs="2  Mitra" w:hint="cs"/>
          <w:sz w:val="28"/>
          <w:szCs w:val="28"/>
          <w:rtl/>
        </w:rPr>
        <w:t>» تا آخرين فرد از افراد علماء بوده است.</w:t>
      </w:r>
    </w:p>
    <w:p w14:paraId="36AC57E8" w14:textId="77777777" w:rsidR="00056817" w:rsidRDefault="00056817" w:rsidP="00056817">
      <w:pPr>
        <w:widowControl w:val="0"/>
        <w:tabs>
          <w:tab w:val="num" w:pos="1440"/>
        </w:tabs>
        <w:bidi/>
        <w:spacing w:before="240"/>
        <w:ind w:firstLine="289"/>
        <w:jc w:val="both"/>
        <w:rPr>
          <w:rFonts w:cs="2  Mitra" w:hint="cs"/>
          <w:sz w:val="28"/>
          <w:szCs w:val="28"/>
          <w:rtl/>
        </w:rPr>
      </w:pPr>
      <w:r>
        <w:rPr>
          <w:rFonts w:cs="2  Mitra" w:hint="cs"/>
          <w:sz w:val="28"/>
          <w:szCs w:val="28"/>
          <w:rtl/>
        </w:rPr>
        <w:t>مرحوم آيت الله روحانی نيز در اشکال بر فرمايش مرحوم محقق اصفهانی فرموده</w:t>
      </w:r>
      <w:r>
        <w:rPr>
          <w:rFonts w:cs="2  Mitra" w:hint="cs"/>
          <w:sz w:val="28"/>
          <w:szCs w:val="28"/>
          <w:rtl/>
        </w:rPr>
        <w:softHyphen/>
        <w:t>اند: لحاظ عام به گونه‌ای که بر تمام افراد آن منطبق باشد، امری است که در همه اقسام عام وجود دارد، زیرا لحاظ جهت کثرت، در همه این اقسام، امرى وجدانی و غیرقابل انکار است.</w:t>
      </w:r>
      <w:r>
        <w:rPr>
          <w:rStyle w:val="FootnoteReference"/>
          <w:rFonts w:cs="2  Mitra"/>
          <w:spacing w:val="-2"/>
          <w:sz w:val="28"/>
          <w:szCs w:val="28"/>
          <w:rtl/>
        </w:rPr>
        <w:footnoteReference w:id="2"/>
      </w:r>
    </w:p>
    <w:p w14:paraId="0CB52D5C" w14:textId="77777777" w:rsidR="00056817" w:rsidRDefault="00056817" w:rsidP="00056817">
      <w:pPr>
        <w:widowControl w:val="0"/>
        <w:tabs>
          <w:tab w:val="num" w:pos="1440"/>
        </w:tabs>
        <w:bidi/>
        <w:spacing w:before="240"/>
        <w:ind w:firstLine="289"/>
        <w:jc w:val="both"/>
        <w:rPr>
          <w:rFonts w:cs="2  Mitra" w:hint="cs"/>
          <w:sz w:val="28"/>
          <w:szCs w:val="28"/>
          <w:rtl/>
        </w:rPr>
      </w:pPr>
      <w:r>
        <w:rPr>
          <w:rFonts w:cs="2  Mitra" w:hint="cs"/>
          <w:sz w:val="28"/>
          <w:szCs w:val="28"/>
          <w:rtl/>
        </w:rPr>
        <w:lastRenderedPageBreak/>
        <w:t>این اشکال نیز برمدعای مرحوم محقق اصفهانی وارد است، و وجه آن همان نکته‌ای است که پیش‌تر گذشت، بدین بیان که در تمام اقسام عام، نسبت وضعی میان مفهوم کلی و افراد آن برقرار است و تفاوت میان این اقسام، تنها از حیث چگونگی این نسبت می‌باشد. در نتيجه آنچه که ایشان ادعا کرده</w:t>
      </w:r>
      <w:r>
        <w:rPr>
          <w:rFonts w:cs="2  Mitra" w:hint="cs"/>
          <w:sz w:val="28"/>
          <w:szCs w:val="28"/>
          <w:rtl/>
        </w:rPr>
        <w:softHyphen/>
        <w:t>اند مبنی بر این که در عام مجموعی جهت کثرت ملحوظ نمی</w:t>
      </w:r>
      <w:r>
        <w:rPr>
          <w:rFonts w:cs="2  Mitra" w:hint="cs"/>
          <w:sz w:val="28"/>
          <w:szCs w:val="28"/>
          <w:rtl/>
        </w:rPr>
        <w:softHyphen/>
        <w:t>گردد، نمی</w:t>
      </w:r>
      <w:r>
        <w:rPr>
          <w:rFonts w:cs="2  Mitra" w:hint="cs"/>
          <w:sz w:val="28"/>
          <w:szCs w:val="28"/>
          <w:rtl/>
        </w:rPr>
        <w:softHyphen/>
        <w:t>تواند قابل التزام باشد.</w:t>
      </w:r>
    </w:p>
    <w:p w14:paraId="1D99E03D" w14:textId="77777777" w:rsidR="00056817" w:rsidRDefault="00056817" w:rsidP="00056817">
      <w:pPr>
        <w:widowControl w:val="0"/>
        <w:tabs>
          <w:tab w:val="num" w:pos="1440"/>
        </w:tabs>
        <w:bidi/>
        <w:spacing w:before="240"/>
        <w:ind w:firstLine="289"/>
        <w:jc w:val="both"/>
        <w:rPr>
          <w:rFonts w:cs="2  Mitra" w:hint="cs"/>
          <w:sz w:val="28"/>
          <w:szCs w:val="28"/>
          <w:rtl/>
          <w:lang w:bidi="fa-IR"/>
        </w:rPr>
      </w:pPr>
      <w:r>
        <w:rPr>
          <w:rFonts w:cs="2  Mitra" w:hint="cs"/>
          <w:sz w:val="28"/>
          <w:szCs w:val="28"/>
          <w:rtl/>
        </w:rPr>
        <w:t>مضافاً بر اين که جهت وحدتی که در عام مجموعی سبب تعلق حکم واحد به مرکبی متشکل از اجزاء عام می</w:t>
      </w:r>
      <w:r>
        <w:rPr>
          <w:rFonts w:cs="2  Mitra" w:hint="cs"/>
          <w:sz w:val="28"/>
          <w:szCs w:val="28"/>
          <w:rtl/>
        </w:rPr>
        <w:softHyphen/>
        <w:t>گردد، جهتی اعتباری است و ارتباطی به آنچه که ايشان بيان کرده</w:t>
      </w:r>
      <w:r>
        <w:rPr>
          <w:rFonts w:cs="2  Mitra" w:hint="cs"/>
          <w:sz w:val="28"/>
          <w:szCs w:val="28"/>
          <w:rtl/>
        </w:rPr>
        <w:softHyphen/>
        <w:t>اند مبنی بر وحدت مفهومی بين مصادیق عام ندارد. فلذا جهت وحدت موضوع در عام مجموعی، اختصاص به همين قسم از عام دارد و در اقسام ديگر آن موجود نيست، در حالی که جهت وحدتی که ايشان تصوير کرده</w:t>
      </w:r>
      <w:r>
        <w:rPr>
          <w:rFonts w:cs="2  Mitra" w:hint="cs"/>
          <w:sz w:val="28"/>
          <w:szCs w:val="28"/>
          <w:rtl/>
        </w:rPr>
        <w:softHyphen/>
        <w:t>اند در تمامی مصادیق عام وجود دارد.</w:t>
      </w:r>
    </w:p>
    <w:p w14:paraId="333C5861" w14:textId="77777777" w:rsidR="00056817" w:rsidRDefault="00056817" w:rsidP="00056817">
      <w:pPr>
        <w:widowControl w:val="0"/>
        <w:tabs>
          <w:tab w:val="num" w:pos="1440"/>
        </w:tabs>
        <w:bidi/>
        <w:spacing w:before="240"/>
        <w:ind w:firstLine="289"/>
        <w:jc w:val="both"/>
        <w:rPr>
          <w:rFonts w:cs="2  Mitra" w:hint="cs"/>
          <w:sz w:val="28"/>
          <w:szCs w:val="28"/>
          <w:rtl/>
        </w:rPr>
      </w:pPr>
      <w:r>
        <w:rPr>
          <w:rFonts w:cs="2  Mitra" w:hint="cs"/>
          <w:sz w:val="28"/>
          <w:szCs w:val="28"/>
          <w:rtl/>
        </w:rPr>
        <w:t>امّا مرحوم محقّق عراقی در بیان وجه اشتراک و افتراق اقسام سه‌گانه عام می‌فرماید: حقیقت عموم، معنایی واقعی است که تصور آن نیازمند حکم یا مصلحت خارجی نیست. صرف شمول افراد نيز مقتضی استغراقی یا مجموعی بودن عام نیست، بلکه این دو وصف، از اعتبارات وابسته به کیفیت تعلق حکم هستند، بدین معنا که عموم استغراقی هنگامی قابل تصور است که آنچه به نحو عموم لحاظ شده، متعلق احکام متعددی به تعداد افراد عام باشد، در حالی‌که عموم مجموعی در جایی است که آنچه به نحو عموم لحاظ شده، متعلق حکم واحد شخصی غیر قابل انحلال باشد. بنابر این بدون لحاظ حکمی که به عام تعلق می‌گیرد یا مصلحت موجود در موضوع حکم، تقسیم عام به مجموعی و استغراقی وجهی نخواهد داشت.</w:t>
      </w:r>
    </w:p>
    <w:p w14:paraId="2D17615F" w14:textId="77777777" w:rsidR="00056817" w:rsidRDefault="00056817" w:rsidP="00056817">
      <w:pPr>
        <w:widowControl w:val="0"/>
        <w:tabs>
          <w:tab w:val="num" w:pos="1440"/>
        </w:tabs>
        <w:bidi/>
        <w:spacing w:before="240"/>
        <w:ind w:firstLine="289"/>
        <w:jc w:val="both"/>
        <w:rPr>
          <w:rFonts w:cs="2  Mitra" w:hint="cs"/>
          <w:sz w:val="28"/>
          <w:szCs w:val="28"/>
          <w:rtl/>
        </w:rPr>
      </w:pPr>
      <w:r>
        <w:rPr>
          <w:rFonts w:cs="2  Mitra" w:hint="cs"/>
          <w:sz w:val="28"/>
          <w:szCs w:val="28"/>
          <w:rtl/>
        </w:rPr>
        <w:t>اما تفاوت عام بدلی با این دو، در چگونگی لحاظ عموم است نه در کیفیت تعلق حکم به عام؛ بدین بیان که در عام استغراقی و عام مجموعی، شمول افراد به نحو عَرْضی است که از آن تعبیر به «این و آن» می‌شود، در حالی که در عام بدلی، شمول به نحو بدلیت است که از آن تعبیر به «این یا آن» می‌گردد. از این رو عموم بدلی نیز معنایی واقعی است که بدون لحاظ حکم یا مصلحت قابل تصور است، و تقابل آن با دو قسم دیگر، به لحاظ مقسم مشترک آن دو با بدلی است، نه به جهت تقابل جداگانه آن با هر یک از آن دو.</w:t>
      </w:r>
      <w:r>
        <w:rPr>
          <w:rStyle w:val="FootnoteReference"/>
          <w:rFonts w:cs="2  Mitra"/>
          <w:spacing w:val="-2"/>
          <w:sz w:val="28"/>
          <w:szCs w:val="28"/>
          <w:rtl/>
        </w:rPr>
        <w:footnoteReference w:id="3"/>
      </w:r>
    </w:p>
    <w:p w14:paraId="74FF5512" w14:textId="77777777" w:rsidR="00056817" w:rsidRDefault="00056817" w:rsidP="00056817">
      <w:pPr>
        <w:widowControl w:val="0"/>
        <w:tabs>
          <w:tab w:val="num" w:pos="1440"/>
        </w:tabs>
        <w:bidi/>
        <w:spacing w:before="240"/>
        <w:ind w:firstLine="289"/>
        <w:jc w:val="both"/>
        <w:rPr>
          <w:rFonts w:cs="2  Mitra" w:hint="cs"/>
          <w:sz w:val="28"/>
          <w:szCs w:val="28"/>
          <w:rtl/>
        </w:rPr>
      </w:pPr>
      <w:r>
        <w:rPr>
          <w:rFonts w:cs="2  Mitra" w:hint="cs"/>
          <w:sz w:val="28"/>
          <w:szCs w:val="28"/>
          <w:rtl/>
        </w:rPr>
        <w:t>نقد فرمايشات ايشان را به جلسه آينده موکول می</w:t>
      </w:r>
      <w:r>
        <w:rPr>
          <w:rFonts w:cs="2  Mitra" w:hint="cs"/>
          <w:sz w:val="28"/>
          <w:szCs w:val="28"/>
          <w:rtl/>
        </w:rPr>
        <w:softHyphen/>
        <w:t>کنيم إن شاء الله.</w:t>
      </w:r>
    </w:p>
    <w:p w14:paraId="026F9266" w14:textId="77777777" w:rsidR="00056817" w:rsidRDefault="00056817" w:rsidP="00056817">
      <w:pPr>
        <w:rPr>
          <w:rFonts w:cs="2  Mitra" w:hint="cs"/>
          <w:sz w:val="28"/>
          <w:szCs w:val="28"/>
          <w:rtl/>
        </w:rPr>
      </w:pPr>
      <w:r>
        <w:rPr>
          <w:rFonts w:cs="2  Mitra" w:hint="cs"/>
          <w:sz w:val="28"/>
          <w:szCs w:val="28"/>
          <w:rtl/>
        </w:rPr>
        <w:br w:type="page"/>
      </w:r>
    </w:p>
    <w:p w14:paraId="0D4FF41A" w14:textId="77777777" w:rsidR="00056817" w:rsidRDefault="00056817" w:rsidP="00056817">
      <w:pPr>
        <w:widowControl w:val="0"/>
        <w:tabs>
          <w:tab w:val="num" w:pos="1440"/>
        </w:tabs>
        <w:bidi/>
        <w:spacing w:after="0"/>
        <w:ind w:firstLine="284"/>
        <w:jc w:val="both"/>
        <w:rPr>
          <w:rFonts w:cs="Abz-2 (Badr)" w:hint="cs"/>
          <w:sz w:val="28"/>
          <w:szCs w:val="28"/>
          <w:rtl/>
        </w:rPr>
      </w:pPr>
      <w:r>
        <w:rPr>
          <w:rFonts w:cs="Abz-2 (Badr)" w:hint="cs"/>
          <w:sz w:val="28"/>
          <w:szCs w:val="28"/>
          <w:rtl/>
        </w:rPr>
        <w:lastRenderedPageBreak/>
        <w:t>في بيان تتمّة الإشكالات الواردة على مدّعى المحقّق الإصفهاني نقول: إنّ لازم ما ادّعاه من عدم لحاظ جهة الوحدة في العامّ الاستغراقي هو تعدّد الحكم لا وحدته؛ إذ مع لحاظ جهة الكثرة في الموضوع، يكون من الواضح أنّ الحكم أيضاً يجب أن يتعدّد، ولا يمكن لحكم واحد أن يتعلّق بموضوعات عدّة.</w:t>
      </w:r>
    </w:p>
    <w:p w14:paraId="4F5440E5" w14:textId="77777777" w:rsidR="00056817" w:rsidRDefault="00056817" w:rsidP="00056817">
      <w:pPr>
        <w:widowControl w:val="0"/>
        <w:tabs>
          <w:tab w:val="num" w:pos="1440"/>
        </w:tabs>
        <w:bidi/>
        <w:spacing w:after="0"/>
        <w:ind w:firstLine="284"/>
        <w:jc w:val="both"/>
        <w:rPr>
          <w:rFonts w:cs="Abz-2 (Badr)" w:hint="cs"/>
          <w:sz w:val="28"/>
          <w:szCs w:val="28"/>
          <w:rtl/>
        </w:rPr>
      </w:pPr>
      <w:r>
        <w:rPr>
          <w:rFonts w:cs="Abz-2 (Badr)" w:hint="cs"/>
          <w:sz w:val="28"/>
          <w:szCs w:val="28"/>
          <w:rtl/>
        </w:rPr>
        <w:t>وعليه فالوحدة في الإنشاء هنا وحدة صوريّة فحسب، ويجب الالتزام بانحلال الإنشاء الواحد إلى إنشاءات متعدّدة بعدد الأحكام المتعلّقة بالموضوعات المختلفة.</w:t>
      </w:r>
    </w:p>
    <w:p w14:paraId="6E4A6B8B" w14:textId="77777777" w:rsidR="00056817" w:rsidRDefault="00056817" w:rsidP="00056817">
      <w:pPr>
        <w:widowControl w:val="0"/>
        <w:tabs>
          <w:tab w:val="num" w:pos="1440"/>
        </w:tabs>
        <w:bidi/>
        <w:spacing w:after="0"/>
        <w:ind w:firstLine="284"/>
        <w:jc w:val="both"/>
        <w:rPr>
          <w:rFonts w:cs="Abz-2 (Badr)" w:hint="cs"/>
          <w:sz w:val="28"/>
          <w:szCs w:val="28"/>
          <w:rtl/>
        </w:rPr>
      </w:pPr>
      <w:r>
        <w:rPr>
          <w:rFonts w:cs="Abz-2 (Badr)" w:hint="cs"/>
          <w:sz w:val="28"/>
          <w:szCs w:val="28"/>
          <w:rtl/>
        </w:rPr>
        <w:t>ومن ثمّ فوجه تعدّد البعث بعدد أفراد العامّ هو تعدّد الإنشاء في الحقيقة، لا أنّ الإنشاء الواحد صدر بداعي جعل الداعي لكلّ فرد من أفراد العامّ.</w:t>
      </w:r>
    </w:p>
    <w:p w14:paraId="380CA6A9" w14:textId="77777777" w:rsidR="00056817" w:rsidRDefault="00056817" w:rsidP="00056817">
      <w:pPr>
        <w:widowControl w:val="0"/>
        <w:tabs>
          <w:tab w:val="num" w:pos="1440"/>
        </w:tabs>
        <w:bidi/>
        <w:spacing w:after="0"/>
        <w:ind w:firstLine="284"/>
        <w:jc w:val="both"/>
        <w:rPr>
          <w:rFonts w:cs="Abz-2 (Badr)" w:hint="cs"/>
          <w:sz w:val="28"/>
          <w:szCs w:val="28"/>
          <w:rtl/>
        </w:rPr>
      </w:pPr>
      <w:r>
        <w:rPr>
          <w:rFonts w:cs="Abz-2 (Badr)" w:hint="cs"/>
          <w:sz w:val="28"/>
          <w:szCs w:val="28"/>
          <w:rtl/>
        </w:rPr>
        <w:t>وأمّا دليل انحلال الحكم بعدد أفراد العامّ الاستغراقي ـ على ضوء ما تقدّم من البحث في طريقة لحاظ الأفراد فيه ـ فهو أنّ کلّ واحد من أفراد العامّ الاستغراقي يلحظ على نحو «لا بشرط» بالنسبة إلى الآخرين، ولا مرجّح لتقديم واحد منها على الآخر في مقام تعلّق الحكم؛ فبمقتضى حكم العقل ينحلّ الحكم الواحد المتعلّق بالعامّ الاستغراقي إلى أحكام متعدّدة بعدد أفراده. وهذا يكشف عن أنّ المراد الجدّي للمتكلّم هو تعلّق الأحكام المتعدّدة بالأفراد المتعدّدة للعام، بمعنی أنّ مقصوده من قوله: «أکرم العلماء» مثلاً، هو قوله: «أکرم زيداً العالم» و «أکرم عمراً العالم» و«أکرم بکراً العالم» وهکذا إلی آخر فرد من أفراد العلماء.</w:t>
      </w:r>
    </w:p>
    <w:p w14:paraId="58628247" w14:textId="77777777" w:rsidR="00056817" w:rsidRDefault="00056817" w:rsidP="00056817">
      <w:pPr>
        <w:widowControl w:val="0"/>
        <w:tabs>
          <w:tab w:val="num" w:pos="1440"/>
        </w:tabs>
        <w:bidi/>
        <w:spacing w:after="0"/>
        <w:ind w:firstLine="284"/>
        <w:jc w:val="both"/>
        <w:rPr>
          <w:rFonts w:cs="Abz-2 (Badr)" w:hint="cs"/>
          <w:sz w:val="28"/>
          <w:szCs w:val="28"/>
          <w:rtl/>
        </w:rPr>
      </w:pPr>
      <w:r>
        <w:rPr>
          <w:rFonts w:cs="Abz-2 (Badr)" w:hint="cs"/>
          <w:sz w:val="28"/>
          <w:szCs w:val="28"/>
          <w:rtl/>
        </w:rPr>
        <w:t>وقد أورد السيّد الروحاني إشکالاً آخر على كلام المحقّق الإصفهاني قائلاً: إنّ لحاظ العامّ على نحو ينطبق على جميع أفراده، أمر ثابت في جميع أقسام العامّ، لأنّ لحاظ جهة الكثرة في هذه الأقسام بأسرها أمر وجداني غير قابل للإنكار.</w:t>
      </w:r>
      <w:r>
        <w:rPr>
          <w:rStyle w:val="FootnoteReference"/>
          <w:rFonts w:cs="Abz-2 (Badr)"/>
          <w:spacing w:val="-2"/>
          <w:sz w:val="28"/>
          <w:szCs w:val="28"/>
          <w:rtl/>
        </w:rPr>
        <w:footnoteReference w:id="4"/>
      </w:r>
    </w:p>
    <w:p w14:paraId="562CB250" w14:textId="77777777" w:rsidR="00056817" w:rsidRDefault="00056817" w:rsidP="00056817">
      <w:pPr>
        <w:widowControl w:val="0"/>
        <w:tabs>
          <w:tab w:val="num" w:pos="1440"/>
        </w:tabs>
        <w:bidi/>
        <w:spacing w:after="0"/>
        <w:ind w:firstLine="284"/>
        <w:jc w:val="both"/>
        <w:rPr>
          <w:rFonts w:cs="Abz-2 (Badr)" w:hint="cs"/>
          <w:sz w:val="28"/>
          <w:szCs w:val="28"/>
          <w:rtl/>
        </w:rPr>
      </w:pPr>
      <w:r>
        <w:rPr>
          <w:rFonts w:cs="Abz-2 (Badr)" w:hint="cs"/>
          <w:sz w:val="28"/>
          <w:szCs w:val="28"/>
          <w:rtl/>
        </w:rPr>
        <w:t>وهذا الإشكال أيضاً وارد على مدّعى المحقّق الإصفهاني، ووجهه هو نفس ما تقدّم بيانه، وهو أنّ في جميع أقسام العامّ نسبة وضعيّة قائمة بين المفهوم الكلّي وآحاد أفراده، وإنّما يختلف كلّ قسم عن الآخر من حيث كيفيّة تلك النسبة. ونتيجة ذلك أنّ ما ادّعاه من أنّ جهة الكثرة غير ملحوظة في العامّ المجموعي لا يمكن الالتزام به.</w:t>
      </w:r>
    </w:p>
    <w:p w14:paraId="0BC17CB6" w14:textId="77777777" w:rsidR="00056817" w:rsidRDefault="00056817" w:rsidP="00056817">
      <w:pPr>
        <w:widowControl w:val="0"/>
        <w:tabs>
          <w:tab w:val="num" w:pos="1440"/>
        </w:tabs>
        <w:bidi/>
        <w:spacing w:after="0"/>
        <w:ind w:firstLine="284"/>
        <w:jc w:val="both"/>
        <w:rPr>
          <w:rFonts w:cs="Abz-2 (Badr)"/>
          <w:sz w:val="28"/>
          <w:szCs w:val="28"/>
        </w:rPr>
      </w:pPr>
      <w:r>
        <w:rPr>
          <w:rFonts w:cs="Abz-2 (Badr)" w:hint="cs"/>
          <w:sz w:val="28"/>
          <w:szCs w:val="28"/>
          <w:rtl/>
        </w:rPr>
        <w:t xml:space="preserve">هذا مضافاً إلى أنّ جهة الوحدة التي توجب في العامّ المجموعي تعلّق حكم واحد بمركّب مؤلّف من أجزاء العامّ، جهة اعتباريّة لا صلة لها بما ذكره من وحدة مفهوميّة بين مصاديق العامّ؛ فلذلك فإنّ جهة وحدة الموضوع في العامّ المجموعي </w:t>
      </w:r>
      <w:r>
        <w:rPr>
          <w:rFonts w:cs="Abz-2 (Badr)" w:hint="cs"/>
          <w:sz w:val="28"/>
          <w:szCs w:val="28"/>
          <w:rtl/>
        </w:rPr>
        <w:lastRenderedPageBreak/>
        <w:t>خاصّة بهذا القسم دون سائر الأقسام، في حين أنّ جهة الوحدة التي صوّرها المحقّق الإصفهاني ثابتة في جميع مصاديق العامّ.</w:t>
      </w:r>
    </w:p>
    <w:p w14:paraId="18D9F6D6" w14:textId="77777777" w:rsidR="00056817" w:rsidRDefault="00056817" w:rsidP="00056817">
      <w:pPr>
        <w:widowControl w:val="0"/>
        <w:tabs>
          <w:tab w:val="num" w:pos="1440"/>
        </w:tabs>
        <w:bidi/>
        <w:spacing w:after="0"/>
        <w:ind w:firstLine="284"/>
        <w:jc w:val="both"/>
        <w:rPr>
          <w:rFonts w:cs="Abz-2 (Badr)" w:hint="cs"/>
          <w:sz w:val="28"/>
          <w:szCs w:val="28"/>
          <w:rtl/>
        </w:rPr>
      </w:pPr>
      <w:r>
        <w:rPr>
          <w:rFonts w:cs="Abz-2 (Badr)" w:hint="cs"/>
          <w:sz w:val="28"/>
          <w:szCs w:val="28"/>
          <w:rtl/>
        </w:rPr>
        <w:t>ثمّ إنّ المحقّق العراقي قد بيّن في مقام توضيح وجه الاشتراك والافتراق بين الأقسام الثلاثة للعامّ أنّ حقيقة العموم معنىً واقعي لا يتوقّف تصوّره على حكم أو مصلحة خارجيّة، ومجرّد شمول الأفراد لا يقتضي كون العامّ استغراقيّاً أو مجموعيّاً، بل إنّ هذين الوصفين من الاعتبارات التابعة لكيفيّة تعلّق الحكم به، بمعنى أنّ العموم الاستغراقي إنّما يتصوّر فيما إذا كان ما لوحظ على نحو العموم متعلّق أحكام متعدّدة بعدد أفراد العامّ. وأمّا العموم المجموعي فيتحقّق فيما إذا كان ما لوحظ على نحو العموم، متعلّق حكم واحد شخصي غير قابل للانحلال. وعليه فبدون لحاظ الحكم المتعلّق بالعامّ أو المصلحة القائمة بموضوع الحكم، لا وجه لتقسيم العامّ إلى مجموعي واستغراقي.</w:t>
      </w:r>
    </w:p>
    <w:p w14:paraId="7CDF235D" w14:textId="77777777" w:rsidR="00056817" w:rsidRDefault="00056817" w:rsidP="00056817">
      <w:pPr>
        <w:widowControl w:val="0"/>
        <w:tabs>
          <w:tab w:val="num" w:pos="1440"/>
        </w:tabs>
        <w:bidi/>
        <w:spacing w:after="0"/>
        <w:ind w:firstLine="284"/>
        <w:jc w:val="both"/>
        <w:rPr>
          <w:rFonts w:cs="Abz-2 (Badr)"/>
          <w:sz w:val="28"/>
          <w:szCs w:val="28"/>
        </w:rPr>
      </w:pPr>
      <w:r>
        <w:rPr>
          <w:rFonts w:cs="Abz-2 (Badr)" w:hint="cs"/>
          <w:sz w:val="28"/>
          <w:szCs w:val="28"/>
          <w:rtl/>
        </w:rPr>
        <w:t>وأمّا الفرق بين العامّ البدلي وهذين القسمين فهو في كيفيّة لحاظ العموم لا في كيفية تعلّق الحكم به؛ وذلك لأنّ في العامّ الاستغراقي والعامّ المجموعي يكون شمول الأفراد على نحو عرضي يعبّر عنه ب‍ـ «هذا وذاك»، بينما في العامّ البدلي يكون الشمول على نحو البدلية يعبّر عنه بـ ‍«هذا أو ذاك». ومن ثمّ فإنّ للعموم البدلي معنىً واقعي يتصوّر بلا حاجة إلى لحاظ حكم أو مصلحة، وتقابله مع القسمين الآخرين إنّما هو بلحاظ اختلافه عن المقسم المشترك بينهما، لا على وجه التقابل المستقلّ مع كلّ منهما على حدة.</w:t>
      </w:r>
      <w:r>
        <w:rPr>
          <w:rStyle w:val="FootnoteReference"/>
          <w:rFonts w:cs="Abz-2 (Badr)"/>
          <w:spacing w:val="-2"/>
          <w:sz w:val="28"/>
          <w:szCs w:val="28"/>
          <w:rtl/>
        </w:rPr>
        <w:footnoteReference w:id="5"/>
      </w:r>
    </w:p>
    <w:p w14:paraId="175CACC2" w14:textId="77777777" w:rsidR="00056817" w:rsidRDefault="00056817" w:rsidP="00056817">
      <w:pPr>
        <w:widowControl w:val="0"/>
        <w:tabs>
          <w:tab w:val="num" w:pos="1440"/>
        </w:tabs>
        <w:bidi/>
        <w:spacing w:after="0"/>
        <w:ind w:firstLine="284"/>
        <w:jc w:val="both"/>
        <w:rPr>
          <w:rFonts w:cs="Abz-2 (Badr)" w:hint="cs"/>
          <w:sz w:val="28"/>
          <w:szCs w:val="28"/>
          <w:rtl/>
        </w:rPr>
      </w:pPr>
      <w:r>
        <w:rPr>
          <w:rFonts w:cs="Abz-2 (Badr)" w:hint="cs"/>
          <w:sz w:val="28"/>
          <w:szCs w:val="28"/>
          <w:rtl/>
        </w:rPr>
        <w:t>ونؤکل مناقشة ما أفاده إلى الجلسة القادمة إن شاء الله.</w:t>
      </w:r>
    </w:p>
    <w:p w14:paraId="7D9979DE" w14:textId="26D41A3F" w:rsidR="001B24FC" w:rsidRPr="00056817" w:rsidRDefault="001B24FC" w:rsidP="00056817">
      <w:pPr>
        <w:rPr>
          <w:rtl/>
        </w:rPr>
      </w:pPr>
    </w:p>
    <w:sectPr w:rsidR="001B24FC" w:rsidRPr="00056817"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877EB" w14:textId="77777777" w:rsidR="004F6E25" w:rsidRDefault="004F6E25" w:rsidP="00C336C5">
      <w:pPr>
        <w:spacing w:after="0" w:line="240" w:lineRule="auto"/>
      </w:pPr>
      <w:r>
        <w:separator/>
      </w:r>
    </w:p>
  </w:endnote>
  <w:endnote w:type="continuationSeparator" w:id="0">
    <w:p w14:paraId="6A6656AC" w14:textId="77777777" w:rsidR="004F6E25" w:rsidRDefault="004F6E25" w:rsidP="00C336C5">
      <w:pPr>
        <w:spacing w:after="0" w:line="240" w:lineRule="auto"/>
      </w:pPr>
      <w:r>
        <w:continuationSeparator/>
      </w:r>
    </w:p>
  </w:endnote>
  <w:endnote w:type="continuationNotice" w:id="1">
    <w:p w14:paraId="7A9B4F90" w14:textId="77777777" w:rsidR="004F6E25" w:rsidRDefault="004F6E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18B8" w14:textId="77777777" w:rsidR="002F16B4" w:rsidRDefault="002F1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EAD7" w14:textId="77777777" w:rsidR="002F16B4" w:rsidRDefault="002F1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AF408" w14:textId="77777777" w:rsidR="004F6E25" w:rsidRDefault="004F6E25" w:rsidP="00C336C5">
      <w:pPr>
        <w:bidi/>
        <w:spacing w:after="0" w:line="240" w:lineRule="auto"/>
      </w:pPr>
      <w:r>
        <w:separator/>
      </w:r>
    </w:p>
  </w:footnote>
  <w:footnote w:type="continuationSeparator" w:id="0">
    <w:p w14:paraId="7AAB9909" w14:textId="77777777" w:rsidR="004F6E25" w:rsidRDefault="004F6E25" w:rsidP="00C336C5">
      <w:pPr>
        <w:spacing w:after="0" w:line="240" w:lineRule="auto"/>
      </w:pPr>
      <w:r>
        <w:continuationSeparator/>
      </w:r>
    </w:p>
  </w:footnote>
  <w:footnote w:type="continuationNotice" w:id="1">
    <w:p w14:paraId="3A1E53FA" w14:textId="77777777" w:rsidR="004F6E25" w:rsidRDefault="004F6E25">
      <w:pPr>
        <w:spacing w:after="0" w:line="240" w:lineRule="auto"/>
      </w:pPr>
    </w:p>
  </w:footnote>
  <w:footnote w:id="2">
    <w:p w14:paraId="595C5F9F" w14:textId="77777777" w:rsidR="00056817" w:rsidRDefault="00056817" w:rsidP="00056817">
      <w:pPr>
        <w:pStyle w:val="FootnoteText"/>
        <w:bidi/>
        <w:jc w:val="left"/>
        <w:rPr>
          <w:rFonts w:cs="Abz-2 (Badr)" w:hint="cs"/>
          <w:rtl/>
          <w:lang w:bidi="fa-IR"/>
        </w:rPr>
      </w:pPr>
      <w:r>
        <w:rPr>
          <w:rFonts w:cs="Abz-2 (Badr)"/>
          <w:lang w:bidi="fa-IR"/>
        </w:rPr>
        <w:footnoteRef/>
      </w:r>
      <w:r>
        <w:rPr>
          <w:rFonts w:cs="Abz-2 (Badr)" w:hint="cs"/>
          <w:rtl/>
          <w:lang w:bidi="fa-IR"/>
        </w:rPr>
        <w:t xml:space="preserve"> ـ راجع: منتقی الأُصول،ج3،ص297.</w:t>
      </w:r>
    </w:p>
  </w:footnote>
  <w:footnote w:id="3">
    <w:p w14:paraId="47CD4C19" w14:textId="77777777" w:rsidR="00056817" w:rsidRDefault="00056817" w:rsidP="00056817">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الأفکار،ج2،ص505 و 506.</w:t>
      </w:r>
    </w:p>
  </w:footnote>
  <w:footnote w:id="4">
    <w:p w14:paraId="29ED4628" w14:textId="77777777" w:rsidR="00056817" w:rsidRDefault="00056817" w:rsidP="00056817">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منتقی الأُصول،ج3،ص297.</w:t>
      </w:r>
    </w:p>
  </w:footnote>
  <w:footnote w:id="5">
    <w:p w14:paraId="0EA935AA" w14:textId="77777777" w:rsidR="00056817" w:rsidRDefault="00056817" w:rsidP="00056817">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الأفکار،ج2،ص505 و 506.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80E1" w14:textId="77777777" w:rsidR="002F16B4" w:rsidRDefault="002F16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E493FC3"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56817">
                            <w:rPr>
                              <w:rFonts w:cs="B Mehr" w:hint="cs"/>
                              <w:rtl/>
                              <w:lang w:bidi="fa-IR"/>
                            </w:rPr>
                            <w:t>19</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E493FC3"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56817">
                      <w:rPr>
                        <w:rFonts w:cs="B Mehr" w:hint="cs"/>
                        <w:rtl/>
                        <w:lang w:bidi="fa-IR"/>
                      </w:rPr>
                      <w:t>19</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7060" w14:textId="77777777" w:rsidR="002F16B4" w:rsidRDefault="002F16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Pages>
  <Words>991</Words>
  <Characters>5650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1208</cp:revision>
  <cp:lastPrinted>2025-04-15T09:36:00Z</cp:lastPrinted>
  <dcterms:created xsi:type="dcterms:W3CDTF">2022-10-16T08:36:00Z</dcterms:created>
  <dcterms:modified xsi:type="dcterms:W3CDTF">2025-10-11T08:09:00Z</dcterms:modified>
</cp:coreProperties>
</file>