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6FA58" w14:textId="77777777" w:rsidR="00EC171C" w:rsidRDefault="00EC171C" w:rsidP="00EC171C">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FCEB2BF" w14:textId="77777777" w:rsidR="00EC171C" w:rsidRDefault="00EC171C" w:rsidP="00EC171C">
      <w:pPr>
        <w:widowControl w:val="0"/>
        <w:bidi/>
        <w:spacing w:after="0"/>
        <w:jc w:val="center"/>
        <w:rPr>
          <w:rFonts w:cs="B Mitra"/>
          <w:b/>
          <w:bCs/>
          <w:sz w:val="32"/>
          <w:szCs w:val="32"/>
          <w:rtl/>
          <w:lang w:bidi="fa-IR"/>
        </w:rPr>
      </w:pPr>
      <w:r>
        <w:rPr>
          <w:rFonts w:cs="B Mitra" w:hint="cs"/>
          <w:b/>
          <w:bCs/>
          <w:sz w:val="32"/>
          <w:szCs w:val="32"/>
          <w:rtl/>
          <w:lang w:bidi="fa-IR"/>
        </w:rPr>
        <w:t>تقریر بحث اصول</w:t>
      </w:r>
    </w:p>
    <w:p w14:paraId="47AC2CBE" w14:textId="77777777" w:rsidR="00EC171C" w:rsidRDefault="00EC171C" w:rsidP="00EC171C">
      <w:pPr>
        <w:widowControl w:val="0"/>
        <w:bidi/>
        <w:spacing w:after="240"/>
        <w:jc w:val="center"/>
        <w:rPr>
          <w:rFonts w:cs="B Mitra"/>
          <w:b/>
          <w:bCs/>
          <w:sz w:val="32"/>
          <w:szCs w:val="32"/>
          <w:rtl/>
          <w:lang w:bidi="fa-IR"/>
        </w:rPr>
      </w:pPr>
      <w:r>
        <w:rPr>
          <w:rFonts w:cs="B Mitra" w:hint="cs"/>
          <w:b/>
          <w:bCs/>
          <w:sz w:val="32"/>
          <w:szCs w:val="32"/>
          <w:rtl/>
          <w:lang w:bidi="fa-IR"/>
        </w:rPr>
        <w:t>جلسه 947</w:t>
      </w:r>
    </w:p>
    <w:bookmarkEnd w:id="0"/>
    <w:p w14:paraId="333D4952"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t>بيان مرحوم امام در تعريف اقسام سه</w:t>
      </w:r>
      <w:r>
        <w:rPr>
          <w:rFonts w:cs="2  Mitra" w:hint="cs"/>
          <w:sz w:val="28"/>
          <w:szCs w:val="28"/>
          <w:rtl/>
        </w:rPr>
        <w:softHyphen/>
        <w:t>گانه عموم را جلسه قبل مطرح کرديم.</w:t>
      </w:r>
    </w:p>
    <w:p w14:paraId="51328F87"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t>آنچه ایشان بیان کرده‌اند هرچند در کلیّت خود قابل قبول است، اما در کلمات ايشان ضابطه مشخصی برای وجه اشتراک اقسام عموم با يکديگر و وجه افتراق آنها از يکديگر بيان نشده است.</w:t>
      </w:r>
    </w:p>
    <w:p w14:paraId="1BB9057D" w14:textId="77777777" w:rsidR="00EC171C" w:rsidRDefault="00EC171C" w:rsidP="00EC171C">
      <w:pPr>
        <w:widowControl w:val="0"/>
        <w:bidi/>
        <w:spacing w:before="240" w:line="261" w:lineRule="auto"/>
        <w:ind w:firstLine="289"/>
        <w:jc w:val="both"/>
        <w:rPr>
          <w:rFonts w:cs="2  Mitra"/>
          <w:sz w:val="28"/>
          <w:szCs w:val="28"/>
          <w:rtl/>
          <w:lang w:bidi="fa-IR"/>
        </w:rPr>
      </w:pPr>
      <w:r>
        <w:rPr>
          <w:rFonts w:cs="2  Mitra" w:hint="cs"/>
          <w:sz w:val="28"/>
          <w:szCs w:val="28"/>
          <w:rtl/>
        </w:rPr>
        <w:t>علاوه بر اين که لفظ «</w:t>
      </w:r>
      <w:r>
        <w:rPr>
          <w:rFonts w:cs="Abz-2 (Badr)" w:hint="cs"/>
          <w:sz w:val="28"/>
          <w:szCs w:val="28"/>
          <w:rtl/>
        </w:rPr>
        <w:t>أيّ</w:t>
      </w:r>
      <w:r>
        <w:rPr>
          <w:rFonts w:cs="2  Mitra" w:hint="cs"/>
          <w:sz w:val="28"/>
          <w:szCs w:val="28"/>
          <w:rtl/>
        </w:rPr>
        <w:t>» در مقام استفهام نيز لزوماً دلالت بر عموم بدلی ندارد، فلذا در برخی از موارد می</w:t>
      </w:r>
      <w:r>
        <w:rPr>
          <w:rFonts w:cs="2  Mitra" w:hint="cs"/>
          <w:sz w:val="28"/>
          <w:szCs w:val="28"/>
          <w:rtl/>
        </w:rPr>
        <w:softHyphen/>
        <w:t>توان در مقام پاسخ، بيش از يک فرد را تعيين نمود. همچنان که در مقام نهی نیز «</w:t>
      </w:r>
      <w:r>
        <w:rPr>
          <w:rFonts w:cs="Abz-2 (Badr)" w:hint="cs"/>
          <w:sz w:val="28"/>
          <w:szCs w:val="28"/>
          <w:rtl/>
        </w:rPr>
        <w:t>أيّ</w:t>
      </w:r>
      <w:r>
        <w:rPr>
          <w:rFonts w:cs="2  Mitra" w:hint="cs"/>
          <w:sz w:val="28"/>
          <w:szCs w:val="28"/>
          <w:rtl/>
        </w:rPr>
        <w:t>» ظهور در عموم بدلی ندارد، بلکه ظهور در عموم مجموعی داشته و به معنای «هيچ يک» است؛ مثلاً در جمله‌ی «</w:t>
      </w:r>
      <w:r>
        <w:rPr>
          <w:rFonts w:cs="Abz-2 (Badr)" w:hint="cs"/>
          <w:sz w:val="28"/>
          <w:szCs w:val="28"/>
          <w:rtl/>
        </w:rPr>
        <w:t>لا ترتكب أيّ ذنب</w:t>
      </w:r>
      <w:r>
        <w:rPr>
          <w:rFonts w:cs="2  Mitra" w:hint="cs"/>
          <w:sz w:val="28"/>
          <w:szCs w:val="28"/>
          <w:rtl/>
        </w:rPr>
        <w:t>» ارتکاب حتی یک گناه نیز مخالفت محسوب می‌شود و امتثال، متوقف بر اجتناب از جمیع گناهان است</w:t>
      </w:r>
      <w:r>
        <w:rPr>
          <w:rFonts w:cs="2  Mitra" w:hint="cs"/>
          <w:sz w:val="28"/>
          <w:szCs w:val="28"/>
          <w:rtl/>
          <w:lang w:bidi="fa-IR"/>
        </w:rPr>
        <w:t>.</w:t>
      </w:r>
    </w:p>
    <w:p w14:paraId="24143EEA"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t>اما مرحوم محقق اصفهانی در بيان وجه وحدت معنای عموم بين اقسام گوناگون عام که در کلام مرحوم آخوند گذشت، می</w:t>
      </w:r>
      <w:r>
        <w:rPr>
          <w:rFonts w:cs="2  Mitra" w:hint="cs"/>
          <w:sz w:val="28"/>
          <w:szCs w:val="28"/>
          <w:rtl/>
        </w:rPr>
        <w:softHyphen/>
        <w:t xml:space="preserve">فرمايد: مصادیق عام از حيث مفهومی واحد و از حيث ذاتی کثير هستند و این دو جهت، همواره در آن محفوظ است، هرچند به اعتبار موضوعيت عام برای حکم، یکی </w:t>
      </w:r>
      <w:r>
        <w:rPr>
          <w:rFonts w:cs="Abz-2 (Badr)" w:hint="cs"/>
          <w:sz w:val="28"/>
          <w:szCs w:val="28"/>
          <w:rtl/>
        </w:rPr>
        <w:t>بالأصالة</w:t>
      </w:r>
      <w:r>
        <w:rPr>
          <w:rFonts w:cs="2  Mitra" w:hint="cs"/>
          <w:sz w:val="28"/>
          <w:szCs w:val="28"/>
          <w:rtl/>
        </w:rPr>
        <w:t xml:space="preserve"> و دیگری بالتبع لحاظ می‌شود.</w:t>
      </w:r>
    </w:p>
    <w:p w14:paraId="37BE5AD2" w14:textId="77777777" w:rsidR="00EC171C" w:rsidRDefault="00EC171C" w:rsidP="00EC171C">
      <w:pPr>
        <w:widowControl w:val="0"/>
        <w:bidi/>
        <w:spacing w:before="240" w:line="261" w:lineRule="auto"/>
        <w:ind w:firstLine="289"/>
        <w:jc w:val="both"/>
        <w:rPr>
          <w:rFonts w:cs="2  Mitra"/>
          <w:spacing w:val="-2"/>
          <w:sz w:val="28"/>
          <w:szCs w:val="28"/>
          <w:rtl/>
        </w:rPr>
      </w:pPr>
      <w:r>
        <w:rPr>
          <w:rFonts w:cs="2  Mitra" w:hint="cs"/>
          <w:spacing w:val="-2"/>
          <w:sz w:val="28"/>
          <w:szCs w:val="28"/>
          <w:rtl/>
        </w:rPr>
        <w:t>اگر حکم به لحاظ کثرت ذاتی بر عام مترتب گردد ـ مانند «</w:t>
      </w:r>
      <w:r>
        <w:rPr>
          <w:rFonts w:cs="Abz-2 (Badr)" w:hint="cs"/>
          <w:spacing w:val="-2"/>
          <w:sz w:val="28"/>
          <w:szCs w:val="28"/>
          <w:rtl/>
        </w:rPr>
        <w:t>أکرم کلّ عالم</w:t>
      </w:r>
      <w:r>
        <w:rPr>
          <w:rFonts w:cs="2  Mitra" w:hint="cs"/>
          <w:spacing w:val="-2"/>
          <w:sz w:val="28"/>
          <w:szCs w:val="28"/>
          <w:rtl/>
        </w:rPr>
        <w:t>» ـ جهت وحدت در مقام موضوعیت ملغی می‌شود و حکم به تک‌تک افراد سرایت می‌کند؛ این همان عام استغراقی است. در این حالت، هرچند انشاء حکم واحد است، ولی چون به داعی جعل داعی نسبت به هر فرد انجام گرفته، بعث جدّی به سوی تک‌تک افراد حاصل می‌شود.</w:t>
      </w:r>
    </w:p>
    <w:p w14:paraId="1CAEEC87"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t>و اگر حکم به لحاظ وحدت مفهومی بر عام مترتب شود ـ مانند «</w:t>
      </w:r>
      <w:r>
        <w:rPr>
          <w:rFonts w:cs="Abz-2 (Badr)" w:hint="cs"/>
          <w:sz w:val="28"/>
          <w:szCs w:val="28"/>
          <w:rtl/>
        </w:rPr>
        <w:t>أکرم العلماء بأجمعهم</w:t>
      </w:r>
      <w:r>
        <w:rPr>
          <w:rFonts w:cs="2  Mitra" w:hint="cs"/>
          <w:sz w:val="28"/>
          <w:szCs w:val="28"/>
          <w:rtl/>
        </w:rPr>
        <w:t>» ـ هرچند جهت کثرت در آن محفوظ است ـ زيرا مفهوم عام متقوم به آن است ـ اما در مرحله موضوعيت معنا برای حکم واحد حقیقی، ملغی بوده و لحاظ نمی</w:t>
      </w:r>
      <w:r>
        <w:rPr>
          <w:rFonts w:cs="2  Mitra" w:hint="cs"/>
          <w:sz w:val="28"/>
          <w:szCs w:val="28"/>
          <w:rtl/>
        </w:rPr>
        <w:softHyphen/>
        <w:t>شود و حکم بر کلّ به عنوان یک واحد تعلق می‌گیرد؛ این همان عام مجموعی است.</w:t>
      </w:r>
    </w:p>
    <w:p w14:paraId="7DB4C065"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lastRenderedPageBreak/>
        <w:t>در عام بدلی ـ مانند «</w:t>
      </w:r>
      <w:r>
        <w:rPr>
          <w:rFonts w:cs="Abz-2 (Badr)" w:hint="cs"/>
          <w:sz w:val="28"/>
          <w:szCs w:val="28"/>
          <w:rtl/>
        </w:rPr>
        <w:t>أکرم أيّ عالم</w:t>
      </w:r>
      <w:r>
        <w:rPr>
          <w:rFonts w:cs="2  Mitra" w:hint="cs"/>
          <w:sz w:val="28"/>
          <w:szCs w:val="28"/>
          <w:rtl/>
        </w:rPr>
        <w:t>» ـ نیز وحدت و کثرت محفوظ است، ولی کثرت به گونه‌ای لحاظ می‌شود که هر فرد به طور بدلی می‌تواند موضوع حکم باشد.</w:t>
      </w:r>
    </w:p>
    <w:p w14:paraId="1A45DC3A" w14:textId="77777777" w:rsidR="00EC171C" w:rsidRDefault="00EC171C" w:rsidP="00EC171C">
      <w:pPr>
        <w:widowControl w:val="0"/>
        <w:bidi/>
        <w:spacing w:before="240" w:line="261" w:lineRule="auto"/>
        <w:ind w:firstLine="289"/>
        <w:jc w:val="both"/>
        <w:rPr>
          <w:rFonts w:cs="2  Mitra"/>
          <w:sz w:val="28"/>
          <w:szCs w:val="28"/>
          <w:rtl/>
        </w:rPr>
      </w:pPr>
      <w:r>
        <w:rPr>
          <w:rFonts w:cs="2  Mitra" w:hint="cs"/>
          <w:sz w:val="28"/>
          <w:szCs w:val="28"/>
          <w:rtl/>
        </w:rPr>
        <w:t>اما خارج از مقام موضوعیت برای حکم، هیچ یک از دو جهت وحدت و کثرت بر دیگری اصالت ندارد، زیرا نسبت وحدت و کثرت به معنا یکسان است و هیچ یک بر دیگری تقدم ذاتی ندارد.</w:t>
      </w:r>
    </w:p>
    <w:p w14:paraId="051E6887" w14:textId="77777777" w:rsidR="00EC171C" w:rsidRDefault="00EC171C" w:rsidP="00EC171C">
      <w:pPr>
        <w:widowControl w:val="0"/>
        <w:tabs>
          <w:tab w:val="num" w:pos="1440"/>
        </w:tabs>
        <w:bidi/>
        <w:spacing w:before="240" w:line="261" w:lineRule="auto"/>
        <w:ind w:firstLine="289"/>
        <w:jc w:val="both"/>
        <w:rPr>
          <w:rFonts w:cs="2  Mitra"/>
          <w:sz w:val="28"/>
          <w:szCs w:val="28"/>
        </w:rPr>
      </w:pPr>
      <w:r>
        <w:rPr>
          <w:rFonts w:cs="2  Mitra" w:hint="cs"/>
          <w:sz w:val="28"/>
          <w:szCs w:val="28"/>
          <w:rtl/>
        </w:rPr>
        <w:t>بنابر اين در اقسام گوناگون عام، جهت کثرت به نحوی است که يا جميع افراد آن موضوع حکم هستند، و يا هر فردی جزء موضوع حکم است، و يا هر کدام از افراد به نحو علی البدل موضوع حکم واقع می</w:t>
      </w:r>
      <w:r>
        <w:rPr>
          <w:rFonts w:cs="2  Mitra" w:hint="cs"/>
          <w:sz w:val="28"/>
          <w:szCs w:val="28"/>
          <w:rtl/>
        </w:rPr>
        <w:softHyphen/>
        <w:t>شود، وگرنه عام که قوام آن به وحدت مفهومی و کثرت ذاتی است، امر جامعی میان اقسام عموم خواهد بود.</w:t>
      </w:r>
      <w:r>
        <w:rPr>
          <w:rStyle w:val="FootnoteReference"/>
          <w:rFonts w:cs="2  Mitra"/>
          <w:spacing w:val="-2"/>
          <w:sz w:val="28"/>
          <w:szCs w:val="28"/>
          <w:rtl/>
        </w:rPr>
        <w:footnoteReference w:id="2"/>
      </w:r>
    </w:p>
    <w:p w14:paraId="7A9CB325" w14:textId="77777777" w:rsidR="00EC171C" w:rsidRDefault="00EC171C" w:rsidP="00EC171C">
      <w:pPr>
        <w:widowControl w:val="0"/>
        <w:tabs>
          <w:tab w:val="num" w:pos="1440"/>
        </w:tabs>
        <w:bidi/>
        <w:spacing w:before="240" w:line="261" w:lineRule="auto"/>
        <w:ind w:firstLine="289"/>
        <w:jc w:val="both"/>
        <w:rPr>
          <w:rFonts w:cs="2  Mitra"/>
          <w:sz w:val="28"/>
          <w:szCs w:val="28"/>
          <w:rtl/>
        </w:rPr>
      </w:pPr>
      <w:r>
        <w:rPr>
          <w:rFonts w:cs="2  Mitra" w:hint="cs"/>
          <w:sz w:val="28"/>
          <w:szCs w:val="28"/>
          <w:rtl/>
        </w:rPr>
        <w:t>امّا اشکال اصلی فرمایش ایشان اين است که ـ همان‌گونه که گذشت ـ تقسیم عام به اقسام سه‌گانه، به اعتبار آن‌که موضوع حکم واقع شده باشند، نیست؛ بلکه عام را می‌توان فی حدّ نفسه و ثبوتاً به این اقسام تقسیم نمود.</w:t>
      </w:r>
    </w:p>
    <w:p w14:paraId="689183CE" w14:textId="77777777" w:rsidR="00EC171C" w:rsidRDefault="00EC171C" w:rsidP="00EC171C">
      <w:pPr>
        <w:widowControl w:val="0"/>
        <w:tabs>
          <w:tab w:val="num" w:pos="1440"/>
        </w:tabs>
        <w:bidi/>
        <w:spacing w:before="240" w:line="261" w:lineRule="auto"/>
        <w:ind w:firstLine="289"/>
        <w:jc w:val="both"/>
        <w:rPr>
          <w:rFonts w:cs="2  Mitra"/>
          <w:sz w:val="28"/>
          <w:szCs w:val="28"/>
          <w:rtl/>
        </w:rPr>
      </w:pPr>
      <w:r>
        <w:rPr>
          <w:rFonts w:cs="2  Mitra" w:hint="cs"/>
          <w:sz w:val="28"/>
          <w:szCs w:val="28"/>
          <w:rtl/>
        </w:rPr>
        <w:t>بنابر این مناسب‌تر آن است که در وجه وحدت معنای عموم در میان اقسام سه‌گانه عام گفته شود: لفظی می‌تواند بر عموم دلالت داشته باشد که در برابر مفهومی کلی که دارای افراد متعدّد است وضع شده باشد، مانند «</w:t>
      </w:r>
      <w:r>
        <w:rPr>
          <w:rFonts w:cs="Abz-2 (Badr)" w:hint="cs"/>
          <w:sz w:val="28"/>
          <w:szCs w:val="28"/>
          <w:rtl/>
        </w:rPr>
        <w:t>عالم</w:t>
      </w:r>
      <w:r>
        <w:rPr>
          <w:rFonts w:cs="2  Mitra" w:hint="cs"/>
          <w:sz w:val="28"/>
          <w:szCs w:val="28"/>
          <w:rtl/>
        </w:rPr>
        <w:t>» و «</w:t>
      </w:r>
      <w:r>
        <w:rPr>
          <w:rFonts w:cs="Abz-2 (Badr)" w:hint="cs"/>
          <w:sz w:val="28"/>
          <w:szCs w:val="28"/>
          <w:rtl/>
        </w:rPr>
        <w:t>انسان</w:t>
      </w:r>
      <w:r>
        <w:rPr>
          <w:rFonts w:cs="2  Mitra" w:hint="cs"/>
          <w:sz w:val="28"/>
          <w:szCs w:val="28"/>
          <w:rtl/>
        </w:rPr>
        <w:t>»، نه لفظی که در برابر مرکّبی دارای اجزاء وضع شده باشد، مانند «</w:t>
      </w:r>
      <w:r>
        <w:rPr>
          <w:rFonts w:cs="Abz-2 (Badr)" w:hint="cs"/>
          <w:sz w:val="28"/>
          <w:szCs w:val="28"/>
          <w:rtl/>
        </w:rPr>
        <w:t>بيت</w:t>
      </w:r>
      <w:r>
        <w:rPr>
          <w:rFonts w:cs="2  Mitra" w:hint="cs"/>
          <w:sz w:val="28"/>
          <w:szCs w:val="28"/>
          <w:rtl/>
        </w:rPr>
        <w:t>» یا «</w:t>
      </w:r>
      <w:r>
        <w:rPr>
          <w:rFonts w:cs="Abz-2 (Badr)" w:hint="cs"/>
          <w:sz w:val="28"/>
          <w:szCs w:val="28"/>
          <w:rtl/>
        </w:rPr>
        <w:t>صلاة</w:t>
      </w:r>
      <w:r>
        <w:rPr>
          <w:rFonts w:cs="2  Mitra" w:hint="cs"/>
          <w:sz w:val="28"/>
          <w:szCs w:val="28"/>
          <w:rtl/>
        </w:rPr>
        <w:t>». و همچنان که سابقاً بیان شد، عموم در حقیقت نسبتی وضعی است میان مفهوم کلی و افراد آن که سبب می‌شود افراد عام مورد لحاظ واقع شوند.</w:t>
      </w:r>
    </w:p>
    <w:p w14:paraId="317A6F4C" w14:textId="77777777" w:rsidR="00EC171C" w:rsidRDefault="00EC171C" w:rsidP="00EC171C">
      <w:pPr>
        <w:widowControl w:val="0"/>
        <w:tabs>
          <w:tab w:val="num" w:pos="1440"/>
        </w:tabs>
        <w:bidi/>
        <w:spacing w:before="240" w:line="261" w:lineRule="auto"/>
        <w:ind w:firstLine="289"/>
        <w:jc w:val="both"/>
        <w:rPr>
          <w:rFonts w:cs="2  Mitra"/>
          <w:sz w:val="28"/>
          <w:szCs w:val="28"/>
        </w:rPr>
      </w:pPr>
      <w:r>
        <w:rPr>
          <w:rFonts w:cs="2  Mitra" w:hint="cs"/>
          <w:sz w:val="28"/>
          <w:szCs w:val="28"/>
          <w:rtl/>
        </w:rPr>
        <w:t>اما این نسبت گاهی به گونه‌ای است که تک‌تک افراد عام به نحو «لا بشرط» نسبت به یکدیگر لحاظ می‌شوند که در این صورت، عموم استغراقی خواهد بود.</w:t>
      </w:r>
    </w:p>
    <w:p w14:paraId="410C7AF2" w14:textId="77777777" w:rsidR="00EC171C" w:rsidRDefault="00EC171C" w:rsidP="00EC171C">
      <w:pPr>
        <w:widowControl w:val="0"/>
        <w:tabs>
          <w:tab w:val="num" w:pos="1440"/>
        </w:tabs>
        <w:bidi/>
        <w:spacing w:before="240" w:line="261" w:lineRule="auto"/>
        <w:ind w:firstLine="289"/>
        <w:jc w:val="both"/>
        <w:rPr>
          <w:rFonts w:cs="2  Mitra"/>
          <w:sz w:val="28"/>
          <w:szCs w:val="28"/>
          <w:rtl/>
        </w:rPr>
      </w:pPr>
      <w:r>
        <w:rPr>
          <w:rFonts w:cs="2  Mitra" w:hint="cs"/>
          <w:sz w:val="28"/>
          <w:szCs w:val="28"/>
          <w:rtl/>
        </w:rPr>
        <w:t>در پاره</w:t>
      </w:r>
      <w:r>
        <w:rPr>
          <w:rFonts w:cs="2  Mitra" w:hint="cs"/>
          <w:sz w:val="28"/>
          <w:szCs w:val="28"/>
          <w:rtl/>
        </w:rPr>
        <w:softHyphen/>
        <w:t>ای از اوقات نیز این نسبت به‌گونه‌ای است که تک تک افراد عام، «بشرط شیء» نسبت به یکدیگر ملحوظ واقع می‌شوند که در این صورت، عموم مجموعی خواهد بود.</w:t>
      </w:r>
    </w:p>
    <w:p w14:paraId="16D56292" w14:textId="77777777" w:rsidR="00EC171C" w:rsidRDefault="00EC171C" w:rsidP="00EC171C">
      <w:pPr>
        <w:widowControl w:val="0"/>
        <w:tabs>
          <w:tab w:val="num" w:pos="1440"/>
        </w:tabs>
        <w:bidi/>
        <w:spacing w:before="240" w:line="261" w:lineRule="auto"/>
        <w:ind w:firstLine="289"/>
        <w:jc w:val="both"/>
        <w:rPr>
          <w:rFonts w:cs="2  Mitra"/>
          <w:sz w:val="28"/>
          <w:szCs w:val="28"/>
          <w:rtl/>
        </w:rPr>
      </w:pPr>
      <w:r>
        <w:rPr>
          <w:rFonts w:cs="2  Mitra" w:hint="cs"/>
          <w:sz w:val="28"/>
          <w:szCs w:val="28"/>
          <w:rtl/>
        </w:rPr>
        <w:t xml:space="preserve">و در برخی موارد، این نسبت به‌گونه‌ای است که تک تک افراد عام به نحو «بشرط لا» از دیگر افراد لحاظ می‌شوند که در </w:t>
      </w:r>
      <w:r>
        <w:rPr>
          <w:rFonts w:cs="2  Mitra" w:hint="cs"/>
          <w:sz w:val="28"/>
          <w:szCs w:val="28"/>
          <w:rtl/>
        </w:rPr>
        <w:lastRenderedPageBreak/>
        <w:t>این صورت، عموم بدلی خواهد بود.</w:t>
      </w:r>
    </w:p>
    <w:p w14:paraId="1333278D" w14:textId="77777777" w:rsidR="00EC171C" w:rsidRDefault="00EC171C" w:rsidP="00EC171C">
      <w:pPr>
        <w:widowControl w:val="0"/>
        <w:tabs>
          <w:tab w:val="num" w:pos="1440"/>
        </w:tabs>
        <w:bidi/>
        <w:spacing w:before="240" w:line="261" w:lineRule="auto"/>
        <w:ind w:firstLine="289"/>
        <w:jc w:val="both"/>
        <w:rPr>
          <w:rFonts w:cs="2  Mitra"/>
          <w:sz w:val="28"/>
          <w:szCs w:val="28"/>
        </w:rPr>
      </w:pPr>
      <w:r>
        <w:rPr>
          <w:rFonts w:cs="2  Mitra" w:hint="cs"/>
          <w:sz w:val="28"/>
          <w:szCs w:val="28"/>
          <w:rtl/>
        </w:rPr>
        <w:t>بر این اساس وجه وحدت در اقسام سه‌گانه، وجود نسبت وضعی میان مفهوم کلی و افراد آن در همه آن‌هاست، و وجه افتراق آنها، اختلاف در چگونگی این نسبت می‌باشد.</w:t>
      </w:r>
    </w:p>
    <w:p w14:paraId="2C80FBA7" w14:textId="77777777" w:rsidR="00EC171C" w:rsidRDefault="00EC171C" w:rsidP="00EC171C">
      <w:pPr>
        <w:widowControl w:val="0"/>
        <w:tabs>
          <w:tab w:val="num" w:pos="1440"/>
        </w:tabs>
        <w:bidi/>
        <w:spacing w:before="240" w:line="261" w:lineRule="auto"/>
        <w:ind w:firstLine="289"/>
        <w:jc w:val="both"/>
        <w:rPr>
          <w:rFonts w:cs="2  Mitra"/>
          <w:sz w:val="28"/>
          <w:szCs w:val="28"/>
          <w:rtl/>
        </w:rPr>
      </w:pPr>
      <w:r>
        <w:rPr>
          <w:rFonts w:cs="2  Mitra" w:hint="cs"/>
          <w:sz w:val="28"/>
          <w:szCs w:val="28"/>
          <w:rtl/>
        </w:rPr>
        <w:t>ادامه بحث را جلسه آينده پی می</w:t>
      </w:r>
      <w:r>
        <w:rPr>
          <w:rFonts w:cs="2  Mitra" w:hint="cs"/>
          <w:sz w:val="28"/>
          <w:szCs w:val="28"/>
          <w:rtl/>
        </w:rPr>
        <w:softHyphen/>
        <w:t>گيريم ان شاء الله.</w:t>
      </w:r>
    </w:p>
    <w:p w14:paraId="6B430EAE" w14:textId="77777777" w:rsidR="00EC171C" w:rsidRDefault="00EC171C" w:rsidP="00EC171C">
      <w:pPr>
        <w:rPr>
          <w:rFonts w:cs="2  Mitra"/>
          <w:sz w:val="28"/>
          <w:szCs w:val="28"/>
          <w:rtl/>
        </w:rPr>
      </w:pPr>
      <w:r>
        <w:rPr>
          <w:rFonts w:cs="2  Mitra" w:hint="cs"/>
          <w:sz w:val="28"/>
          <w:szCs w:val="28"/>
          <w:rtl/>
        </w:rPr>
        <w:br w:type="page"/>
      </w:r>
    </w:p>
    <w:p w14:paraId="06972153"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lastRenderedPageBreak/>
        <w:t>قد عرضنا في الجلسة السابقة بيان السيّد الخميني في تعريف الأقسام الثلاثة للعموم.</w:t>
      </w:r>
    </w:p>
    <w:p w14:paraId="6EE62738" w14:textId="77777777" w:rsidR="00EC171C" w:rsidRDefault="00EC171C" w:rsidP="00EC171C">
      <w:pPr>
        <w:widowControl w:val="0"/>
        <w:tabs>
          <w:tab w:val="num" w:pos="1440"/>
        </w:tabs>
        <w:bidi/>
        <w:spacing w:after="0"/>
        <w:ind w:firstLine="284"/>
        <w:jc w:val="both"/>
        <w:rPr>
          <w:rFonts w:cs="Abz-2 (Badr)"/>
          <w:sz w:val="28"/>
          <w:szCs w:val="28"/>
          <w:rtl/>
        </w:rPr>
      </w:pPr>
      <w:bookmarkStart w:id="1" w:name="_Hlk210897633"/>
      <w:r>
        <w:rPr>
          <w:rFonts w:cs="Abz-2 (Badr)" w:hint="cs"/>
          <w:sz w:val="28"/>
          <w:szCs w:val="28"/>
          <w:rtl/>
        </w:rPr>
        <w:t>وما ذكره وإن كان مقبولاً في الجملة إلّا أنّه لم يبيّن في كلماته ضابطاً واضحاً يحدّد وجه الاشتراك بين أقسام العموم من جهة، ووجه الافتراق بينها من جهة أُخرى.</w:t>
      </w:r>
    </w:p>
    <w:p w14:paraId="0E7B86C8"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مضافاً إلى ذلك ف</w:t>
      </w:r>
      <w:r>
        <w:rPr>
          <w:rFonts w:cs="Abz-2 (Badr)" w:hint="cs"/>
          <w:sz w:val="28"/>
          <w:szCs w:val="28"/>
          <w:rtl/>
          <w:lang w:bidi="fa-IR"/>
        </w:rPr>
        <w:t>إ</w:t>
      </w:r>
      <w:r>
        <w:rPr>
          <w:rFonts w:cs="Abz-2 (Badr)" w:hint="cs"/>
          <w:sz w:val="28"/>
          <w:szCs w:val="28"/>
          <w:rtl/>
        </w:rPr>
        <w:t>نّ لفظ «أيّ» في مقام الاستفهام لا يدلّ بالضرورة على العموم البدلي؛ إذ قد يتصوّر في مقام الجواب تعيين أكثر من فرد واحد. کما أنّه في مقام النهي لا ظهور له في العموم البدلي، بل هو ظاهر في العموم المجموعي بمعنى «لا واحد من ذلك»؛ فمثلاً في قولنا: «لا ترتكب أيّ ذنب»</w:t>
      </w:r>
      <w:r>
        <w:rPr>
          <w:rFonts w:cs="Abz-2 (Badr)" w:hint="cs"/>
          <w:i/>
          <w:iCs/>
          <w:sz w:val="28"/>
          <w:szCs w:val="28"/>
          <w:rtl/>
        </w:rPr>
        <w:t xml:space="preserve"> </w:t>
      </w:r>
      <w:r>
        <w:rPr>
          <w:rFonts w:cs="Abz-2 (Badr)" w:hint="cs"/>
          <w:sz w:val="28"/>
          <w:szCs w:val="28"/>
          <w:rtl/>
        </w:rPr>
        <w:t>يعدّ ارتكاب ذنب واحد مخالفة لهذا النهي ولا يتحقّق امتثاله إلّا بالاجتناب عن جميع الذنوب.</w:t>
      </w:r>
    </w:p>
    <w:p w14:paraId="33EE6ED0"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أمّا المحقّق الإصفهاني فقد تطرّق في بيان وجه وحدة معنى العموم بين أقسام العامّ المختلفة فقال: إنّ مصاديق العامّ من حيث المفهوم واحدة ومن حيث الذات كثيرة، وهاتان الجهتان محفوظتان فيه دائماً، وإن كان يلحظ أحدهما بالأصالة والآخر بالتبع في مقام موضوعيّة العامّ للحكم.</w:t>
      </w:r>
    </w:p>
    <w:p w14:paraId="5D1DF854"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فإن كان الحكم مترتّباً على العامّ بلحاظ الكثرة الذاتيّة ـ كما في قوله: «أكرم كلّ عالم»</w:t>
      </w:r>
      <w:r>
        <w:rPr>
          <w:rFonts w:cs="Abz-2 (Badr)" w:hint="cs"/>
          <w:i/>
          <w:iCs/>
          <w:sz w:val="28"/>
          <w:szCs w:val="28"/>
          <w:rtl/>
        </w:rPr>
        <w:t xml:space="preserve"> ـ</w:t>
      </w:r>
      <w:r>
        <w:rPr>
          <w:rFonts w:cs="Abz-2 (Badr)" w:hint="cs"/>
          <w:sz w:val="28"/>
          <w:szCs w:val="28"/>
          <w:rtl/>
        </w:rPr>
        <w:t xml:space="preserve"> تلغى جهة الوحدة في مقام الموضوعيّة ـ وإن کانت محفوظة ـ ويسري الحكم إلى كلّ فرد من الأفراد على نحو الاستقلال؛ وهذا هو العامّ الاستغراقي. وفي هذه الصورة وإن كان إنشاء الحكم واحداً إلّا أنّه لمّا صدر بداعي جعل الداعي بالنسبة إلى كلّ فرد على حدة، يتحقّق البعث الجدّي إلى كلّ واحد من الأفراد.</w:t>
      </w:r>
    </w:p>
    <w:p w14:paraId="61CC9564"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وأمّا إذا كان الحكم مترتّباً على العامّ بلحاظ الوحدة المفهوميّة ـ كما في قوله: «أكرم العلماء بأجمعهم» ـ فمع أنّ جهة الكثرة محفوظة فيه ـ لأنّ مفهوم العامّ متقوّم بها ـ إلّا أنّها في مقام موضوعيّة المعنى لحكم واحد حقيقي تكون ملغاة، ويتعلّق الحكم بالمجموع بما هو مرکّب واحد؛ وهذا هو العامّ المجموعي.</w:t>
      </w:r>
    </w:p>
    <w:p w14:paraId="008C063B"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وأمّا في العامّ البدلي ـ كقوله: «أكرم أيّ عالم</w:t>
      </w:r>
      <w:r>
        <w:rPr>
          <w:rFonts w:cs="Abz-2 (Badr)" w:hint="cs"/>
          <w:i/>
          <w:iCs/>
          <w:sz w:val="28"/>
          <w:szCs w:val="28"/>
          <w:rtl/>
        </w:rPr>
        <w:t xml:space="preserve">» </w:t>
      </w:r>
      <w:r>
        <w:rPr>
          <w:rFonts w:cs="Abz-2 (Badr)" w:hint="cs"/>
          <w:sz w:val="28"/>
          <w:szCs w:val="28"/>
          <w:rtl/>
        </w:rPr>
        <w:t>ـ فالوحدة والكثرة محفوظتان أيضاً، غير أنّ الكثرة تلحظ فيه على نحو يجعل كلّ فرد من الأفراد صالحاً لأن يكون موضوع الحكم على سبيل البدل.</w:t>
      </w:r>
    </w:p>
    <w:p w14:paraId="16D7C44D"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وأمّا خارج مقام موضوعيّة العامّ للحكم، فلا أصالة لواحدة من جهتي الوحدة والكثرة على الأُخرى، لأنّ نسبة كلّ منهما إلى المعنى على حدّ سواء، ولا تقدّم ذاتي لإحداهما على الأُخرى.</w:t>
      </w:r>
    </w:p>
    <w:p w14:paraId="6E9280A8"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 xml:space="preserve">وبناءً على ذلك فإنّ جهة الكثرة في أقسام العامّ المختلفة تلحظ على أنحاء متعدّدة: فإمّا أن يكون جميع الأفراد موضوعاً </w:t>
      </w:r>
      <w:r>
        <w:rPr>
          <w:rFonts w:cs="Abz-2 (Badr)" w:hint="cs"/>
          <w:sz w:val="28"/>
          <w:szCs w:val="28"/>
          <w:rtl/>
        </w:rPr>
        <w:lastRenderedPageBreak/>
        <w:t>للحكم، أو يكون كلّ فرد جزءاً من موضوع الحكم، أو يكون كلّ واحد من الأفراد موضوعاً للحكم على سبيل البدل؛</w:t>
      </w:r>
      <w:r>
        <w:rPr>
          <w:rFonts w:cs="Abz-2 (Badr)"/>
          <w:sz w:val="28"/>
          <w:szCs w:val="28"/>
        </w:rPr>
        <w:br/>
      </w:r>
      <w:r>
        <w:rPr>
          <w:rFonts w:cs="Abz-2 (Badr)" w:hint="cs"/>
          <w:sz w:val="28"/>
          <w:szCs w:val="28"/>
          <w:rtl/>
        </w:rPr>
        <w:t>فإنّ العامّ ـ الذي يقوم بذاته على الوحدة المفهوميّة والكثرة الذاتيّة ـ يكون جامعاً بين هذه الأقسام الثلاثة للعموم.</w:t>
      </w:r>
      <w:r>
        <w:rPr>
          <w:rStyle w:val="FootnoteReference"/>
          <w:rFonts w:cs="Abz-2 (Badr)"/>
          <w:spacing w:val="-2"/>
          <w:sz w:val="28"/>
          <w:szCs w:val="28"/>
          <w:rtl/>
        </w:rPr>
        <w:footnoteReference w:id="3"/>
      </w:r>
    </w:p>
    <w:p w14:paraId="055EABB4"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b/>
          <w:bCs/>
          <w:sz w:val="28"/>
          <w:szCs w:val="28"/>
          <w:rtl/>
        </w:rPr>
        <w:t>أقول:</w:t>
      </w:r>
      <w:r>
        <w:rPr>
          <w:rFonts w:cs="Abz-2 (Badr)" w:hint="cs"/>
          <w:sz w:val="28"/>
          <w:szCs w:val="28"/>
          <w:rtl/>
        </w:rPr>
        <w:t xml:space="preserve"> إنّ الإشکال الرئيسي الوارد على كلامه هو أنّ تقسيم العامّ إلى الأقسام الثلاثة ليس باعتبار وقوعه موضوعاً للحكم، بل يمكن تقسيم العامّ في حدّ نفسه إلى هذه الأقسام ثبوتاً من دون ملاحظة كونه واقعاً في حيّز الموضوع للحكم.</w:t>
      </w:r>
    </w:p>
    <w:p w14:paraId="1BEDBB3C"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فالأولى أن يقال في وجه وحدة معنى العموم بين الأقسام الثلاثة للعامّ: إنّ اللفظ لا يدلّ على العموم إلّا إذا وضع بإزاء مفهوم كلّي له أفراد متعدّدة، كـ «العالم» و«الإنسان»، لا إذا وضع بإزاء مركّب له أجزاء، كـ «البيت» أو «الصلاة». وكما تقدّم بيانه سابقاً فإنّ العموم في حقيقته نسبة وضعيّة بين المفهوم الكلّي وآحاد أفراده توجب أن تلحظ أفراد العامّ جميعاً في مقام الدلالة التصوّرية.</w:t>
      </w:r>
    </w:p>
    <w:p w14:paraId="0A34B209"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غير أنّ هذه النسبة تکون على أنحاء مختلفة:</w:t>
      </w:r>
    </w:p>
    <w:p w14:paraId="229EB074"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فقد تكون بحيث تلحظ آحاد أفراد العامّ کلّ واحد منها بنحو «لا بشرط» بالنسبة إلى الآخرين؛ وفي هذه الصورة يكون العموم استغراقيّاً.</w:t>
      </w:r>
    </w:p>
    <w:p w14:paraId="3CE419EC" w14:textId="77777777" w:rsidR="00EC171C" w:rsidRDefault="00EC171C" w:rsidP="00EC171C">
      <w:pPr>
        <w:widowControl w:val="0"/>
        <w:tabs>
          <w:tab w:val="num" w:pos="1440"/>
        </w:tabs>
        <w:bidi/>
        <w:spacing w:after="0"/>
        <w:ind w:firstLine="284"/>
        <w:jc w:val="both"/>
        <w:rPr>
          <w:rFonts w:cs="Abz-2 (Badr)"/>
          <w:sz w:val="28"/>
          <w:szCs w:val="28"/>
          <w:rtl/>
        </w:rPr>
      </w:pPr>
      <w:r>
        <w:rPr>
          <w:rFonts w:cs="Abz-2 (Badr)" w:hint="cs"/>
          <w:sz w:val="28"/>
          <w:szCs w:val="28"/>
          <w:rtl/>
        </w:rPr>
        <w:t>وقد تکون بحيث تلحظ آحاد أفراده کلّ واحد منها «بشرط شيء» بالنسبة إلى سائرها؛ وفي هذه الحالة يكون العموم مجموعيّاً.</w:t>
      </w:r>
    </w:p>
    <w:p w14:paraId="15C34D07"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وقد تکون بحيث تلحظ آحاد أفراده کلّ واحد منها «بشرط لا» عن غيره؛ فيكون العموم بدليّاً.</w:t>
      </w:r>
    </w:p>
    <w:p w14:paraId="006EB44D"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وبناءً على ذلك فإنّ وجه الوحدة في الأقسام الثلاثة هو وجود النسبة الوضعيّة بين المفهوم الكلّي وآحاد أفراده في جميعها؛ وأمّا وجه الافتراق فهو اختلاف كيفيّة تلك النسبة.</w:t>
      </w:r>
    </w:p>
    <w:bookmarkEnd w:id="1"/>
    <w:p w14:paraId="3207AEA3" w14:textId="77777777" w:rsidR="00EC171C" w:rsidRDefault="00EC171C" w:rsidP="00EC171C">
      <w:pPr>
        <w:widowControl w:val="0"/>
        <w:tabs>
          <w:tab w:val="num" w:pos="1440"/>
        </w:tabs>
        <w:bidi/>
        <w:spacing w:after="0"/>
        <w:ind w:firstLine="284"/>
        <w:jc w:val="both"/>
        <w:rPr>
          <w:rFonts w:cs="Abz-2 (Badr)"/>
          <w:sz w:val="28"/>
          <w:szCs w:val="28"/>
        </w:rPr>
      </w:pPr>
      <w:r>
        <w:rPr>
          <w:rFonts w:cs="Abz-2 (Badr)" w:hint="cs"/>
          <w:sz w:val="28"/>
          <w:szCs w:val="28"/>
          <w:rtl/>
        </w:rPr>
        <w:t>وسنتابع الكلام في تتمّة البحث في الجلسة القادمة إن شاء الله تعالى.</w:t>
      </w:r>
    </w:p>
    <w:p w14:paraId="6BC373B0" w14:textId="77777777" w:rsidR="00EC171C" w:rsidRDefault="00EC171C" w:rsidP="00EC171C">
      <w:pPr>
        <w:widowControl w:val="0"/>
        <w:tabs>
          <w:tab w:val="num" w:pos="1440"/>
        </w:tabs>
        <w:bidi/>
        <w:spacing w:after="0"/>
        <w:ind w:firstLine="284"/>
        <w:jc w:val="both"/>
        <w:rPr>
          <w:rFonts w:cs="Abz-2 (Badr)"/>
          <w:sz w:val="28"/>
          <w:szCs w:val="28"/>
        </w:rPr>
      </w:pPr>
    </w:p>
    <w:p w14:paraId="443A0F6D" w14:textId="77777777" w:rsidR="00EC171C" w:rsidRDefault="00EC171C" w:rsidP="00EC171C">
      <w:pPr>
        <w:widowControl w:val="0"/>
        <w:tabs>
          <w:tab w:val="num" w:pos="1440"/>
        </w:tabs>
        <w:bidi/>
        <w:spacing w:after="0"/>
        <w:ind w:firstLine="284"/>
        <w:jc w:val="both"/>
        <w:rPr>
          <w:rFonts w:cs="Abz-2 (Badr)"/>
          <w:sz w:val="28"/>
          <w:szCs w:val="28"/>
          <w:rtl/>
        </w:rPr>
      </w:pPr>
    </w:p>
    <w:p w14:paraId="026E9ACC" w14:textId="77777777" w:rsidR="00EC171C" w:rsidRDefault="00EC171C" w:rsidP="00EC171C">
      <w:pPr>
        <w:widowControl w:val="0"/>
        <w:tabs>
          <w:tab w:val="num" w:pos="1440"/>
        </w:tabs>
        <w:bidi/>
        <w:spacing w:after="0"/>
        <w:ind w:firstLine="284"/>
        <w:jc w:val="both"/>
        <w:rPr>
          <w:rFonts w:cs="Abz-2 (Badr)"/>
          <w:sz w:val="28"/>
          <w:szCs w:val="28"/>
        </w:rPr>
      </w:pPr>
    </w:p>
    <w:p w14:paraId="7D9979DE" w14:textId="26D41A3F" w:rsidR="001B24FC" w:rsidRPr="00EC171C" w:rsidRDefault="001B24FC" w:rsidP="00EC171C">
      <w:pPr>
        <w:rPr>
          <w:rtl/>
        </w:rPr>
      </w:pPr>
    </w:p>
    <w:sectPr w:rsidR="001B24FC" w:rsidRPr="00EC171C"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CFE77" w14:textId="77777777" w:rsidR="00293064" w:rsidRDefault="00293064" w:rsidP="00C336C5">
      <w:pPr>
        <w:spacing w:after="0" w:line="240" w:lineRule="auto"/>
      </w:pPr>
      <w:r>
        <w:separator/>
      </w:r>
    </w:p>
  </w:endnote>
  <w:endnote w:type="continuationSeparator" w:id="0">
    <w:p w14:paraId="0B70111D" w14:textId="77777777" w:rsidR="00293064" w:rsidRDefault="00293064" w:rsidP="00C336C5">
      <w:pPr>
        <w:spacing w:after="0" w:line="240" w:lineRule="auto"/>
      </w:pPr>
      <w:r>
        <w:continuationSeparator/>
      </w:r>
    </w:p>
  </w:endnote>
  <w:endnote w:type="continuationNotice" w:id="1">
    <w:p w14:paraId="5DD3424C" w14:textId="77777777" w:rsidR="00293064" w:rsidRDefault="00293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18B8" w14:textId="77777777" w:rsidR="002F16B4" w:rsidRDefault="002F1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EAD7" w14:textId="77777777" w:rsidR="002F16B4" w:rsidRDefault="002F1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544C" w14:textId="77777777" w:rsidR="00293064" w:rsidRDefault="00293064" w:rsidP="00C336C5">
      <w:pPr>
        <w:bidi/>
        <w:spacing w:after="0" w:line="240" w:lineRule="auto"/>
      </w:pPr>
      <w:r>
        <w:separator/>
      </w:r>
    </w:p>
  </w:footnote>
  <w:footnote w:type="continuationSeparator" w:id="0">
    <w:p w14:paraId="0401C2C4" w14:textId="77777777" w:rsidR="00293064" w:rsidRDefault="00293064" w:rsidP="00C336C5">
      <w:pPr>
        <w:spacing w:after="0" w:line="240" w:lineRule="auto"/>
      </w:pPr>
      <w:r>
        <w:continuationSeparator/>
      </w:r>
    </w:p>
  </w:footnote>
  <w:footnote w:type="continuationNotice" w:id="1">
    <w:p w14:paraId="68CAB477" w14:textId="77777777" w:rsidR="00293064" w:rsidRDefault="00293064">
      <w:pPr>
        <w:spacing w:after="0" w:line="240" w:lineRule="auto"/>
      </w:pPr>
    </w:p>
  </w:footnote>
  <w:footnote w:id="2">
    <w:p w14:paraId="6835418C" w14:textId="77777777" w:rsidR="00EC171C" w:rsidRDefault="00EC171C" w:rsidP="00EC171C">
      <w:pPr>
        <w:pStyle w:val="FootnoteText"/>
        <w:bidi/>
        <w:jc w:val="left"/>
        <w:rPr>
          <w:rFonts w:cs="Abz-2 (Badr)"/>
          <w:rtl/>
          <w:lang w:bidi="fa-IR"/>
        </w:rPr>
      </w:pPr>
      <w:r>
        <w:rPr>
          <w:rFonts w:cs="Abz-2 (Badr)"/>
          <w:lang w:bidi="fa-IR"/>
        </w:rPr>
        <w:footnoteRef/>
      </w:r>
      <w:r>
        <w:rPr>
          <w:rFonts w:cs="Abz-2 (Badr)" w:hint="cs"/>
          <w:rtl/>
          <w:lang w:bidi="fa-IR"/>
        </w:rPr>
        <w:t xml:space="preserve"> ـ راجع: نهاية الدراية،ج2،ص444 و 445.</w:t>
      </w:r>
    </w:p>
  </w:footnote>
  <w:footnote w:id="3">
    <w:p w14:paraId="5E2095F7" w14:textId="77777777" w:rsidR="00EC171C" w:rsidRDefault="00EC171C" w:rsidP="00EC171C">
      <w:pPr>
        <w:pStyle w:val="FootnoteText"/>
        <w:bidi/>
        <w:jc w:val="left"/>
        <w:rPr>
          <w:rFonts w:cs="Abz-2 (Badr)"/>
          <w:rtl/>
          <w:lang w:bidi="fa-IR"/>
        </w:rPr>
      </w:pPr>
      <w:r>
        <w:rPr>
          <w:rFonts w:cs="Abz-2 (Badr)"/>
          <w:lang w:bidi="fa-IR"/>
        </w:rPr>
        <w:footnoteRef/>
      </w:r>
      <w:r>
        <w:rPr>
          <w:rFonts w:cs="Abz-2 (Badr)" w:hint="cs"/>
          <w:rtl/>
          <w:lang w:bidi="fa-IR"/>
        </w:rPr>
        <w:t xml:space="preserve"> ـ راجع: نهاية الدراية،ج2،ص444 و 445.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80E1" w14:textId="77777777" w:rsidR="002F16B4" w:rsidRDefault="002F1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E093D34" w:rsidR="008666ED" w:rsidRDefault="008666ED" w:rsidP="008666ED">
                          <w:pPr>
                            <w:bidi/>
                          </w:pPr>
                          <w:r>
                            <w:rPr>
                              <w:rFonts w:cs="B Mehr" w:hint="cs"/>
                              <w:rtl/>
                            </w:rPr>
                            <w:t xml:space="preserve">تاریخ :  </w:t>
                          </w:r>
                          <w:r w:rsidR="00EC171C">
                            <w:rPr>
                              <w:rFonts w:cs="B Mehr" w:hint="cs"/>
                              <w:rtl/>
                              <w:lang w:bidi="fa-IR"/>
                            </w:rPr>
                            <w:t>چهار</w:t>
                          </w:r>
                          <w:r w:rsidR="00C35D43">
                            <w:rPr>
                              <w:rFonts w:cs="B Mehr" w:hint="cs"/>
                              <w:rtl/>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EC171C">
                            <w:rPr>
                              <w:rFonts w:cs="B Mehr" w:hint="cs"/>
                              <w:rtl/>
                              <w:lang w:bidi="fa-IR"/>
                            </w:rPr>
                            <w:t>1</w:t>
                          </w:r>
                          <w:r w:rsidR="00AE5F7F">
                            <w:rPr>
                              <w:rFonts w:cs="B Mehr" w:hint="cs"/>
                              <w:rtl/>
                              <w:lang w:bidi="fa-IR"/>
                            </w:rPr>
                            <w:t>6</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E093D34" w:rsidR="008666ED" w:rsidRDefault="008666ED" w:rsidP="008666ED">
                    <w:pPr>
                      <w:bidi/>
                    </w:pPr>
                    <w:r>
                      <w:rPr>
                        <w:rFonts w:cs="B Mehr" w:hint="cs"/>
                        <w:rtl/>
                      </w:rPr>
                      <w:t xml:space="preserve">تاریخ :  </w:t>
                    </w:r>
                    <w:r w:rsidR="00EC171C">
                      <w:rPr>
                        <w:rFonts w:cs="B Mehr" w:hint="cs"/>
                        <w:rtl/>
                        <w:lang w:bidi="fa-IR"/>
                      </w:rPr>
                      <w:t>چهار</w:t>
                    </w:r>
                    <w:r w:rsidR="00C35D43">
                      <w:rPr>
                        <w:rFonts w:cs="B Mehr" w:hint="cs"/>
                        <w:rtl/>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EC171C">
                      <w:rPr>
                        <w:rFonts w:cs="B Mehr" w:hint="cs"/>
                        <w:rtl/>
                        <w:lang w:bidi="fa-IR"/>
                      </w:rPr>
                      <w:t>1</w:t>
                    </w:r>
                    <w:r w:rsidR="00AE5F7F">
                      <w:rPr>
                        <w:rFonts w:cs="B Mehr" w:hint="cs"/>
                        <w:rtl/>
                        <w:lang w:bidi="fa-IR"/>
                      </w:rPr>
                      <w:t>6</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7060" w14:textId="77777777" w:rsidR="002F16B4" w:rsidRDefault="002F1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1206</cp:revision>
  <cp:lastPrinted>2025-04-15T09:36:00Z</cp:lastPrinted>
  <dcterms:created xsi:type="dcterms:W3CDTF">2022-10-16T08:36:00Z</dcterms:created>
  <dcterms:modified xsi:type="dcterms:W3CDTF">2025-10-11T08:08:00Z</dcterms:modified>
</cp:coreProperties>
</file>