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3537F" w14:textId="77777777" w:rsidR="00C35D43" w:rsidRDefault="00C35D43" w:rsidP="00C35D43">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56770B73" w14:textId="77777777" w:rsidR="00C35D43" w:rsidRDefault="00C35D43" w:rsidP="00C35D43">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2FFF0C3A" w14:textId="77777777" w:rsidR="00C35D43" w:rsidRDefault="00C35D43" w:rsidP="00C35D43">
      <w:pPr>
        <w:widowControl w:val="0"/>
        <w:bidi/>
        <w:spacing w:after="240"/>
        <w:jc w:val="center"/>
        <w:rPr>
          <w:rFonts w:cs="B Mitra" w:hint="cs"/>
          <w:b/>
          <w:bCs/>
          <w:sz w:val="32"/>
          <w:szCs w:val="32"/>
          <w:rtl/>
          <w:lang w:bidi="fa-IR"/>
        </w:rPr>
      </w:pPr>
      <w:r>
        <w:rPr>
          <w:rFonts w:cs="B Mitra" w:hint="cs"/>
          <w:b/>
          <w:bCs/>
          <w:sz w:val="32"/>
          <w:szCs w:val="32"/>
          <w:rtl/>
          <w:lang w:bidi="fa-IR"/>
        </w:rPr>
        <w:t>جلسه 946</w:t>
      </w:r>
    </w:p>
    <w:bookmarkEnd w:id="0"/>
    <w:p w14:paraId="6684D18E" w14:textId="77777777" w:rsidR="00C35D43" w:rsidRDefault="00C35D43" w:rsidP="00C35D43">
      <w:pPr>
        <w:widowControl w:val="0"/>
        <w:bidi/>
        <w:spacing w:before="240"/>
        <w:ind w:firstLine="289"/>
        <w:jc w:val="both"/>
        <w:rPr>
          <w:rFonts w:ascii="Amiri" w:hAnsi="Amiri" w:cs="Amiri" w:hint="cs"/>
          <w:b/>
          <w:bCs/>
          <w:sz w:val="26"/>
          <w:szCs w:val="26"/>
          <w:rtl/>
        </w:rPr>
      </w:pPr>
      <w:r>
        <w:rPr>
          <w:rFonts w:ascii="Amiri" w:hAnsi="Amiri" w:cs="Amiri"/>
          <w:b/>
          <w:bCs/>
          <w:sz w:val="26"/>
          <w:szCs w:val="26"/>
          <w:rtl/>
        </w:rPr>
        <w:t>مقدمه دوم: اقسام عموم</w:t>
      </w:r>
    </w:p>
    <w:p w14:paraId="10680F2D" w14:textId="77777777" w:rsidR="00C35D43" w:rsidRDefault="00C35D43" w:rsidP="00C35D43">
      <w:pPr>
        <w:widowControl w:val="0"/>
        <w:bidi/>
        <w:spacing w:before="240"/>
        <w:ind w:firstLine="289"/>
        <w:jc w:val="both"/>
        <w:rPr>
          <w:rFonts w:cs="2  Mitra"/>
          <w:sz w:val="28"/>
          <w:szCs w:val="28"/>
          <w:rtl/>
        </w:rPr>
      </w:pPr>
      <w:r>
        <w:rPr>
          <w:rFonts w:cs="2  Mitra" w:hint="cs"/>
          <w:sz w:val="28"/>
          <w:szCs w:val="28"/>
          <w:rtl/>
        </w:rPr>
        <w:t>عموم را به سه قسم: عموم استغراقی و مجموعی و بدلی تقسیم می</w:t>
      </w:r>
      <w:r>
        <w:rPr>
          <w:rFonts w:cs="2  Mitra" w:hint="cs"/>
          <w:sz w:val="28"/>
          <w:szCs w:val="28"/>
          <w:rtl/>
        </w:rPr>
        <w:softHyphen/>
        <w:t>کنند.</w:t>
      </w:r>
    </w:p>
    <w:p w14:paraId="031AFBFB" w14:textId="77777777" w:rsidR="00C35D43" w:rsidRDefault="00C35D43" w:rsidP="00C35D43">
      <w:pPr>
        <w:widowControl w:val="0"/>
        <w:bidi/>
        <w:spacing w:before="240"/>
        <w:ind w:firstLine="289"/>
        <w:jc w:val="both"/>
        <w:rPr>
          <w:rFonts w:cs="2  Mitra" w:hint="cs"/>
          <w:sz w:val="28"/>
          <w:szCs w:val="28"/>
          <w:rtl/>
          <w:lang w:bidi="fa-IR"/>
        </w:rPr>
      </w:pPr>
      <w:r>
        <w:rPr>
          <w:rFonts w:cs="2  Mitra" w:hint="cs"/>
          <w:sz w:val="28"/>
          <w:szCs w:val="28"/>
          <w:rtl/>
        </w:rPr>
        <w:t>مرحوم آخوند در تعريف اين سه قسم از عموم می</w:t>
      </w:r>
      <w:r>
        <w:rPr>
          <w:rFonts w:cs="2  Mitra" w:hint="cs"/>
          <w:sz w:val="28"/>
          <w:szCs w:val="28"/>
          <w:rtl/>
        </w:rPr>
        <w:softHyphen/>
        <w:t>فرمايد: عموم در همه‌ی اقسام مذکور، دارای معنای واحدی است که عبارت است از شمول مفهوم بر هر آنچه که مفهوم صلاحیت انطباق بر آن را دارد. غایت امر آن است که تعلق حکم به آن در عموم استغراقی به‌گونه‌ای است که هر فرد به نحو جداگانه موضوع حکم قرار می‌گیرد، و در عموم مجموعی به گونه‌ای است که همه‌ی افراد، یک موضوع واحد محسوب می‌شوند، به نحوب که اگر در مثال: «</w:t>
      </w:r>
      <w:r>
        <w:rPr>
          <w:rFonts w:cs="Abz-2 (Badr)" w:hint="cs"/>
          <w:sz w:val="28"/>
          <w:szCs w:val="28"/>
          <w:rtl/>
        </w:rPr>
        <w:t>أکرم کلّ فقيه</w:t>
      </w:r>
      <w:r>
        <w:rPr>
          <w:rFonts w:cs="2  Mitra" w:hint="cs"/>
          <w:sz w:val="28"/>
          <w:szCs w:val="28"/>
          <w:rtl/>
        </w:rPr>
        <w:t>» از اکرام یک نفر کوتاهی شود، اصلاً امتثال صورت نگرفته باشد، برخلاف صورت نخست که در آن، هم اطاعت تحقق یافته و هم معصیت. و در عموم بدلی هر یک از افراد، موضوع حکم به نحو بدلی است، به این معنا که اگر یکی از آن‌ها اکرام شود، اطاعت و امتثال تحقق یافته است.</w:t>
      </w:r>
      <w:r>
        <w:rPr>
          <w:rStyle w:val="FootnoteReference"/>
          <w:rFonts w:cs="2  Mitra"/>
          <w:spacing w:val="-2"/>
          <w:sz w:val="28"/>
          <w:szCs w:val="28"/>
          <w:rtl/>
        </w:rPr>
        <w:footnoteReference w:id="2"/>
      </w:r>
    </w:p>
    <w:p w14:paraId="3D417C5D" w14:textId="77777777" w:rsidR="00C35D43" w:rsidRDefault="00C35D43" w:rsidP="00C35D43">
      <w:pPr>
        <w:widowControl w:val="0"/>
        <w:bidi/>
        <w:spacing w:before="240" w:line="244" w:lineRule="auto"/>
        <w:ind w:firstLine="289"/>
        <w:jc w:val="both"/>
        <w:rPr>
          <w:rFonts w:cs="2  Mitra" w:hint="cs"/>
          <w:sz w:val="28"/>
          <w:szCs w:val="28"/>
          <w:rtl/>
        </w:rPr>
      </w:pPr>
      <w:r>
        <w:rPr>
          <w:rFonts w:cs="2  Mitra" w:hint="cs"/>
          <w:sz w:val="28"/>
          <w:szCs w:val="28"/>
          <w:rtl/>
        </w:rPr>
        <w:t>امّا اشکالی که بر این تعریف وارد است اين است که بر اساس آن، مدلول تصوّری در هر سه قسم از عموم، واحد بوده و چیزی جز «شمول مفهوم بر هر آنچه که مفهوم صلاحیت انطباق بر آن را دارد» نخواهد بود، و تفاوت آن‌ها تنها در مرحله‌ی ترتّب حکم بر عام است؛ به این معنا که شیوه‌ی ترتّب حکم بر متعلّق یا موضوع خود در هر یک از سه قسم، با شیوه‌ی ترتّب آن در سایر اقسام متفاوت است.</w:t>
      </w:r>
    </w:p>
    <w:p w14:paraId="144CCDC3" w14:textId="77777777" w:rsidR="00C35D43" w:rsidRDefault="00C35D43" w:rsidP="00C35D43">
      <w:pPr>
        <w:widowControl w:val="0"/>
        <w:bidi/>
        <w:spacing w:before="240" w:line="244" w:lineRule="auto"/>
        <w:ind w:firstLine="289"/>
        <w:jc w:val="both"/>
        <w:rPr>
          <w:rFonts w:cs="2  Mitra" w:hint="cs"/>
          <w:sz w:val="28"/>
          <w:szCs w:val="28"/>
          <w:rtl/>
        </w:rPr>
      </w:pPr>
      <w:r>
        <w:rPr>
          <w:rFonts w:cs="2  Mitra" w:hint="cs"/>
          <w:sz w:val="28"/>
          <w:szCs w:val="28"/>
          <w:rtl/>
        </w:rPr>
        <w:t>در حالی‌که اختلاف این سه قسم از عموم، در مرحله‌ی دلالت تصوّریه و پیش از تعلّق حکم به عام است؛ همچنان که بالوجدان درمی‌یابیم معنایی که از «</w:t>
      </w:r>
      <w:r>
        <w:rPr>
          <w:rFonts w:cs="Abz-2 (Badr)" w:hint="cs"/>
          <w:sz w:val="28"/>
          <w:szCs w:val="28"/>
          <w:rtl/>
        </w:rPr>
        <w:t>کلّ عالم</w:t>
      </w:r>
      <w:r>
        <w:rPr>
          <w:rFonts w:cs="2  Mitra" w:hint="cs"/>
          <w:sz w:val="28"/>
          <w:szCs w:val="28"/>
          <w:rtl/>
        </w:rPr>
        <w:t>» برداشت می‌شود، با معنایی که از «</w:t>
      </w:r>
      <w:r>
        <w:rPr>
          <w:rFonts w:cs="Abz-2 (Badr)" w:hint="cs"/>
          <w:sz w:val="28"/>
          <w:szCs w:val="28"/>
          <w:rtl/>
        </w:rPr>
        <w:t>أيّ عالم</w:t>
      </w:r>
      <w:r>
        <w:rPr>
          <w:rFonts w:cs="2  Mitra" w:hint="cs"/>
          <w:sz w:val="28"/>
          <w:szCs w:val="28"/>
          <w:rtl/>
        </w:rPr>
        <w:t>» يا «</w:t>
      </w:r>
      <w:r>
        <w:rPr>
          <w:rFonts w:cs="Abz-2 (Badr)" w:hint="cs"/>
          <w:sz w:val="28"/>
          <w:szCs w:val="28"/>
          <w:rtl/>
        </w:rPr>
        <w:t>مجموع العلماء</w:t>
      </w:r>
      <w:r>
        <w:rPr>
          <w:rFonts w:cs="2  Mitra" w:hint="cs"/>
          <w:sz w:val="28"/>
          <w:szCs w:val="28"/>
          <w:rtl/>
        </w:rPr>
        <w:t>» فهمیده می‌شود، تفاوت دارد.</w:t>
      </w:r>
    </w:p>
    <w:p w14:paraId="617E7161" w14:textId="77777777" w:rsidR="00C35D43" w:rsidRDefault="00C35D43" w:rsidP="00C35D43">
      <w:pPr>
        <w:widowControl w:val="0"/>
        <w:bidi/>
        <w:spacing w:before="240" w:line="244" w:lineRule="auto"/>
        <w:ind w:firstLine="289"/>
        <w:jc w:val="both"/>
        <w:rPr>
          <w:rFonts w:cs="2  Mitra" w:hint="cs"/>
          <w:sz w:val="28"/>
          <w:szCs w:val="28"/>
          <w:rtl/>
        </w:rPr>
      </w:pPr>
      <w:r>
        <w:rPr>
          <w:rFonts w:cs="2  Mitra" w:hint="cs"/>
          <w:sz w:val="28"/>
          <w:szCs w:val="28"/>
          <w:rtl/>
        </w:rPr>
        <w:lastRenderedPageBreak/>
        <w:t>بلکه مرحوم امام، تقسیم عام بر اساس نحوه‌ی تعلق حکم به آن را غیر معقول دانسته و می‌فرمایند: تقسیم عام به اعتبار نحوه تعلق حکم به آن قابل تصور نیست، زیرا حکم تابع موضوع خود است و تعلّق یک حکم وحدانی به موضوعات متعدد اخذ شده به نحو استغراقی معقول نیست، همان‌گونه که تعلّق حکم استغراقی به موضوع اخذ شده به نحو وحدت نیز معقول نخواهد بود، و اهمال ثبوتی نيز در موضوع حکم قابل تصور نیست</w:t>
      </w:r>
      <w:r>
        <w:rPr>
          <w:rFonts w:cs="2  Mitra" w:hint="cs"/>
          <w:sz w:val="28"/>
          <w:szCs w:val="28"/>
          <w:rtl/>
          <w:lang w:bidi="fa-IR"/>
        </w:rPr>
        <w:t>‏.</w:t>
      </w:r>
      <w:r>
        <w:rPr>
          <w:rStyle w:val="FootnoteReference"/>
          <w:rFonts w:cs="2  Mitra"/>
          <w:spacing w:val="-2"/>
          <w:sz w:val="28"/>
          <w:szCs w:val="28"/>
          <w:rtl/>
        </w:rPr>
        <w:footnoteReference w:id="3"/>
      </w:r>
    </w:p>
    <w:p w14:paraId="4AD07147" w14:textId="77777777" w:rsidR="00C35D43" w:rsidRDefault="00C35D43" w:rsidP="00C35D43">
      <w:pPr>
        <w:widowControl w:val="0"/>
        <w:bidi/>
        <w:spacing w:before="240" w:line="244" w:lineRule="auto"/>
        <w:ind w:firstLine="289"/>
        <w:jc w:val="both"/>
        <w:rPr>
          <w:rFonts w:cs="2  Mitra"/>
          <w:sz w:val="28"/>
          <w:szCs w:val="28"/>
        </w:rPr>
      </w:pPr>
      <w:r>
        <w:rPr>
          <w:rFonts w:cs="2  Mitra" w:hint="cs"/>
          <w:sz w:val="28"/>
          <w:szCs w:val="28"/>
          <w:rtl/>
        </w:rPr>
        <w:t>به بیان دیگر: برای آن‌که نحوه‌ی تعلق حکم به موضوع روشن شود، نخست باید معلوم گردد که موضوع چگونه لحاظ شده است؛ و هرگاه موضوع به نحوی خاص لحاظ گردد، حکم نمی‌تواند به نحوی دیگر به آن تعلق یابد. و اما اين ادعا که موضوع مهمل بوده و هیچ‌گونه لحاظی نسبت به آن صورت نگرفته، و پس از تعلق حکم است که نحوه‌ی تعلق حکم به موضوع مشخص می‌شود، ادعایی واضح الفساد است.</w:t>
      </w:r>
    </w:p>
    <w:p w14:paraId="39967EDE" w14:textId="77777777" w:rsidR="00C35D43" w:rsidRDefault="00C35D43" w:rsidP="00C35D43">
      <w:pPr>
        <w:widowControl w:val="0"/>
        <w:bidi/>
        <w:spacing w:before="240" w:line="244" w:lineRule="auto"/>
        <w:ind w:firstLine="289"/>
        <w:jc w:val="both"/>
        <w:rPr>
          <w:rFonts w:cs="Arial" w:hint="cs"/>
          <w:sz w:val="28"/>
          <w:szCs w:val="28"/>
          <w:rtl/>
        </w:rPr>
      </w:pPr>
      <w:r>
        <w:rPr>
          <w:rFonts w:cs="2  Mitra" w:hint="cs"/>
          <w:sz w:val="28"/>
          <w:szCs w:val="28"/>
          <w:rtl/>
        </w:rPr>
        <w:t>مرحوم محقّق اصفهانی نیز استحاله تعیین نوع لحاظ موضوع به صرف تعلّق حکم به آن را پذیرفته و در توضیح مراد آخوند بیان کرده‌اند که مقصود ایشان نیز این نیست، بلکه مراد آن است که عام، به اعتبار وقوع آن در موضوع حکم، می‌تواند به انحاء گوناگون مورد لحاظ قرار گیرد.</w:t>
      </w:r>
      <w:r>
        <w:rPr>
          <w:rStyle w:val="FootnoteReference"/>
          <w:rFonts w:cs="2  Mitra"/>
          <w:spacing w:val="-2"/>
          <w:sz w:val="28"/>
          <w:szCs w:val="28"/>
          <w:rtl/>
        </w:rPr>
        <w:footnoteReference w:id="4"/>
      </w:r>
    </w:p>
    <w:p w14:paraId="5D8DEED3" w14:textId="77777777" w:rsidR="00C35D43" w:rsidRDefault="00C35D43" w:rsidP="00C35D43">
      <w:pPr>
        <w:widowControl w:val="0"/>
        <w:bidi/>
        <w:spacing w:before="240" w:line="244" w:lineRule="auto"/>
        <w:ind w:firstLine="289"/>
        <w:jc w:val="both"/>
        <w:rPr>
          <w:rFonts w:cs="2  Mitra"/>
          <w:spacing w:val="-4"/>
          <w:sz w:val="28"/>
          <w:szCs w:val="28"/>
          <w:rtl/>
        </w:rPr>
      </w:pPr>
      <w:r>
        <w:rPr>
          <w:rFonts w:cs="2  Mitra" w:hint="cs"/>
          <w:spacing w:val="-4"/>
          <w:sz w:val="28"/>
          <w:szCs w:val="28"/>
          <w:rtl/>
        </w:rPr>
        <w:t>اما به جهت اشکالی که در ظاهر تعريف مرحوم آخوند وجود دارد، مرحوم امام در تعريف اين سه قسم از عموم می</w:t>
      </w:r>
      <w:r>
        <w:rPr>
          <w:rFonts w:cs="2  Mitra" w:hint="cs"/>
          <w:spacing w:val="-4"/>
          <w:sz w:val="28"/>
          <w:szCs w:val="28"/>
          <w:rtl/>
        </w:rPr>
        <w:softHyphen/>
        <w:t>فرمايند: لفظی که بر عموم دلالت می‌کند، اگر بر مصادیق طبیعت به صورت عرضی دلالت نماید بدون آن‌که اجتماع آنها در نظر گرفته شود ـ مانند «کلّ»، «جمیع»، «تمام» و امثال آن ـ عام استغراقی خواهد بود. بنابر این «کلّ عالم» بر افراد طبیعت «عالم» دلالت دارد، بی آن که اجتماع آنها و تبدیل شدنشان به یک موضوع واحد، در نظر گرفته شود، بلکه شمولش نسبت به آنها عرضی است</w:t>
      </w:r>
      <w:r>
        <w:rPr>
          <w:rFonts w:cs="2  Mitra"/>
          <w:spacing w:val="-4"/>
          <w:sz w:val="28"/>
          <w:szCs w:val="28"/>
        </w:rPr>
        <w:t>.</w:t>
      </w:r>
    </w:p>
    <w:p w14:paraId="29100F3D" w14:textId="77777777" w:rsidR="00C35D43" w:rsidRDefault="00C35D43" w:rsidP="00C35D43">
      <w:pPr>
        <w:widowControl w:val="0"/>
        <w:bidi/>
        <w:spacing w:before="240" w:line="244" w:lineRule="auto"/>
        <w:ind w:firstLine="289"/>
        <w:jc w:val="both"/>
        <w:rPr>
          <w:rFonts w:cs="2  Mitra"/>
          <w:sz w:val="28"/>
          <w:szCs w:val="28"/>
        </w:rPr>
      </w:pPr>
      <w:r>
        <w:rPr>
          <w:rFonts w:cs="2  Mitra" w:hint="cs"/>
          <w:sz w:val="28"/>
          <w:szCs w:val="28"/>
          <w:rtl/>
        </w:rPr>
        <w:t>اما اگر وحدت و اجتماع در افراد ملحوظ گردد به گونه‌ای که وحدت اعتباری بر آنها عارض شود و افراد، در حکم اجزاء یک کلّ قرار گیرند، عام مجموعی خواهد بود. و بعید نیست که لفظ «مجموع» در عرف، چنین معنایی را افاده کند.</w:t>
      </w:r>
    </w:p>
    <w:p w14:paraId="682550EE" w14:textId="77777777" w:rsidR="00C35D43" w:rsidRDefault="00C35D43" w:rsidP="00C35D43">
      <w:pPr>
        <w:widowControl w:val="0"/>
        <w:bidi/>
        <w:spacing w:before="240"/>
        <w:ind w:firstLine="289"/>
        <w:jc w:val="both"/>
        <w:rPr>
          <w:rFonts w:cs="2  Mitra"/>
          <w:sz w:val="28"/>
          <w:szCs w:val="28"/>
        </w:rPr>
      </w:pPr>
      <w:r>
        <w:rPr>
          <w:rFonts w:cs="2  Mitra" w:hint="cs"/>
          <w:sz w:val="28"/>
          <w:szCs w:val="28"/>
          <w:rtl/>
        </w:rPr>
        <w:t>و اگر لفظ بر افراد به صورت بدلی دلالت کند نه در عرض یکدیگر، آن را عام بدلی می‌نامند؛ مانند «أیّ» استفهامیه. البته گاهی أوقات عموم بدلی در غیر استفهامیه نیز به‌کار می‌رود، مانند: «</w:t>
      </w:r>
      <w:r>
        <w:rPr>
          <w:rFonts w:cs="Abz-2 (Badr)" w:hint="cs"/>
          <w:sz w:val="28"/>
          <w:szCs w:val="28"/>
          <w:rtl/>
        </w:rPr>
        <w:t>زكّ مالك من أيّ مصداق شئت</w:t>
      </w:r>
      <w:r>
        <w:rPr>
          <w:rFonts w:cs="2  Mitra" w:hint="cs"/>
          <w:sz w:val="28"/>
          <w:szCs w:val="28"/>
          <w:rtl/>
        </w:rPr>
        <w:t>» و «</w:t>
      </w:r>
      <w:r>
        <w:rPr>
          <w:rFonts w:cs="Abz-2 (Badr)" w:hint="cs"/>
          <w:sz w:val="28"/>
          <w:szCs w:val="28"/>
          <w:rtl/>
        </w:rPr>
        <w:t xml:space="preserve">اذهب من أيّ طريق </w:t>
      </w:r>
      <w:r>
        <w:rPr>
          <w:rFonts w:cs="Abz-2 (Badr)" w:hint="cs"/>
          <w:sz w:val="28"/>
          <w:szCs w:val="28"/>
          <w:rtl/>
        </w:rPr>
        <w:lastRenderedPageBreak/>
        <w:t>أردت</w:t>
      </w:r>
      <w:r>
        <w:rPr>
          <w:rFonts w:cs="2  Mitra" w:hint="cs"/>
          <w:sz w:val="28"/>
          <w:szCs w:val="28"/>
          <w:rtl/>
        </w:rPr>
        <w:t>» که این گونه موارد نیز به دلالت وضعی بر عموم بدلی دلالت دارند.</w:t>
      </w:r>
      <w:r>
        <w:rPr>
          <w:rStyle w:val="FootnoteReference"/>
          <w:rFonts w:cs="2  Mitra"/>
          <w:spacing w:val="-2"/>
          <w:sz w:val="28"/>
          <w:szCs w:val="28"/>
          <w:rtl/>
        </w:rPr>
        <w:footnoteReference w:id="5"/>
      </w:r>
    </w:p>
    <w:p w14:paraId="7A9E9605" w14:textId="77777777" w:rsidR="00C35D43" w:rsidRDefault="00C35D43" w:rsidP="00C35D43">
      <w:pPr>
        <w:widowControl w:val="0"/>
        <w:bidi/>
        <w:spacing w:before="240"/>
        <w:ind w:firstLine="289"/>
        <w:jc w:val="both"/>
        <w:rPr>
          <w:rFonts w:cs="2  Mitra" w:hint="cs"/>
          <w:sz w:val="28"/>
          <w:szCs w:val="28"/>
          <w:rtl/>
        </w:rPr>
      </w:pPr>
      <w:r>
        <w:rPr>
          <w:rFonts w:cs="2  Mitra" w:hint="cs"/>
          <w:sz w:val="28"/>
          <w:szCs w:val="28"/>
          <w:rtl/>
        </w:rPr>
        <w:t>بقیه مطالب را جلسه آينده مطرح خواهيم کرد ان شاء الله.</w:t>
      </w:r>
    </w:p>
    <w:p w14:paraId="30EE3CAC" w14:textId="77777777" w:rsidR="00C35D43" w:rsidRDefault="00C35D43" w:rsidP="00C35D43">
      <w:pPr>
        <w:rPr>
          <w:rFonts w:cs="2  Mitra" w:hint="cs"/>
          <w:sz w:val="28"/>
          <w:szCs w:val="28"/>
          <w:rtl/>
        </w:rPr>
      </w:pPr>
      <w:r>
        <w:rPr>
          <w:rFonts w:cs="2  Mitra" w:hint="cs"/>
          <w:sz w:val="28"/>
          <w:szCs w:val="28"/>
          <w:rtl/>
        </w:rPr>
        <w:br w:type="page"/>
      </w:r>
    </w:p>
    <w:p w14:paraId="3E9A59E4" w14:textId="77777777" w:rsidR="00C35D43" w:rsidRDefault="00C35D43" w:rsidP="00C35D43">
      <w:pPr>
        <w:widowControl w:val="0"/>
        <w:bidi/>
        <w:spacing w:after="0"/>
        <w:ind w:firstLine="289"/>
        <w:jc w:val="both"/>
        <w:rPr>
          <w:rFonts w:ascii="Amiri" w:hAnsi="Amiri" w:cs="Amiri" w:hint="cs"/>
          <w:b/>
          <w:bCs/>
          <w:sz w:val="26"/>
          <w:szCs w:val="26"/>
          <w:rtl/>
        </w:rPr>
      </w:pPr>
      <w:bookmarkStart w:id="1" w:name="_Hlk210725359"/>
      <w:r>
        <w:rPr>
          <w:rFonts w:ascii="Amiri" w:hAnsi="Amiri" w:cs="Amiri"/>
          <w:b/>
          <w:bCs/>
          <w:sz w:val="26"/>
          <w:szCs w:val="26"/>
          <w:rtl/>
        </w:rPr>
        <w:lastRenderedPageBreak/>
        <w:t>المقدّمة الثانية: أقسام العموم</w:t>
      </w:r>
    </w:p>
    <w:p w14:paraId="42775DA3" w14:textId="77777777" w:rsidR="00C35D43" w:rsidRDefault="00C35D43" w:rsidP="00C35D43">
      <w:pPr>
        <w:widowControl w:val="0"/>
        <w:bidi/>
        <w:spacing w:after="0"/>
        <w:ind w:firstLine="284"/>
        <w:jc w:val="both"/>
        <w:rPr>
          <w:rFonts w:cs="Abz-2 (Badr)"/>
          <w:spacing w:val="-2"/>
          <w:sz w:val="28"/>
          <w:szCs w:val="28"/>
          <w:rtl/>
          <w:lang w:bidi="fa-IR"/>
        </w:rPr>
      </w:pPr>
      <w:r>
        <w:rPr>
          <w:rFonts w:cs="Abz-2 (Badr)" w:hint="cs"/>
          <w:spacing w:val="-2"/>
          <w:sz w:val="28"/>
          <w:szCs w:val="28"/>
          <w:rtl/>
        </w:rPr>
        <w:t>يقسّم العموم إلى ثلاثة أقسام: العموم الاستغراقي، والعموم المجموعي، والعموم البدلي</w:t>
      </w:r>
      <w:r>
        <w:rPr>
          <w:rFonts w:cs="Abz-2 (Badr)" w:hint="cs"/>
          <w:spacing w:val="-2"/>
          <w:sz w:val="28"/>
          <w:szCs w:val="28"/>
          <w:rtl/>
          <w:lang w:bidi="fa-IR"/>
        </w:rPr>
        <w:t>.</w:t>
      </w:r>
    </w:p>
    <w:p w14:paraId="78501FF0" w14:textId="77777777" w:rsidR="00C35D43" w:rsidRDefault="00C35D43" w:rsidP="00C35D43">
      <w:pPr>
        <w:widowControl w:val="0"/>
        <w:tabs>
          <w:tab w:val="num" w:pos="720"/>
        </w:tabs>
        <w:bidi/>
        <w:spacing w:after="0"/>
        <w:ind w:firstLine="284"/>
        <w:jc w:val="both"/>
        <w:rPr>
          <w:rFonts w:cs="Abz-2 (Badr)"/>
          <w:spacing w:val="-2"/>
          <w:sz w:val="28"/>
          <w:szCs w:val="28"/>
        </w:rPr>
      </w:pPr>
      <w:r>
        <w:rPr>
          <w:rFonts w:cs="Abz-2 (Badr)" w:hint="cs"/>
          <w:spacing w:val="-2"/>
          <w:sz w:val="28"/>
          <w:szCs w:val="28"/>
          <w:rtl/>
        </w:rPr>
        <w:t>وقد قال الآخوند في تعريف هذه الأقسام الثلاثة: إنّ العموم في جميعها ذو معنىً واحد، وهو شمول المفهوم لكلّ ما يصلح أن ينطبق عليه. غير أنّ كيفية تعلّق الحكم به تختلف باختلاف الأقسام؛ ففي العموم الاستغراقي يكون كلّ فرد موضوعاً للحكم على نحو مستقلّ. وأمّا في العموم المجموعي فالأفراد جميعاً يعدّون موضوعاً واحداً للحكم بحيث لو تخلّف إكرام واحد منهم في مثل: «أكرم كلّ فقيه»</w:t>
      </w:r>
      <w:r>
        <w:rPr>
          <w:rFonts w:cs="Abz-2 (Badr)" w:hint="cs"/>
          <w:i/>
          <w:iCs/>
          <w:spacing w:val="-2"/>
          <w:sz w:val="28"/>
          <w:szCs w:val="28"/>
          <w:rtl/>
        </w:rPr>
        <w:t xml:space="preserve"> </w:t>
      </w:r>
      <w:r>
        <w:rPr>
          <w:rFonts w:cs="Abz-2 (Badr)" w:hint="cs"/>
          <w:spacing w:val="-2"/>
          <w:sz w:val="28"/>
          <w:szCs w:val="28"/>
          <w:rtl/>
        </w:rPr>
        <w:t>لم يتحقّق الامتثال أصلاً، بخلاف القسم الأوّل حيث يتحقّق فيه الطاعة والعصيان معاً. وأمّا في العموم البدلي فكلّ واحد من الأفراد موضوع للحكم على سبيل البدل، بمعنى أنّه إذا وقع الإكرام على واحد منهم تحقّقت الطاعة والامتثال.</w:t>
      </w:r>
      <w:r>
        <w:rPr>
          <w:rStyle w:val="FootnoteReference"/>
          <w:rFonts w:cs="Abz-2 (Badr)"/>
          <w:spacing w:val="-2"/>
          <w:sz w:val="28"/>
          <w:szCs w:val="28"/>
          <w:rtl/>
        </w:rPr>
        <w:footnoteReference w:id="6"/>
      </w:r>
    </w:p>
    <w:p w14:paraId="34E61F57" w14:textId="77777777" w:rsidR="00C35D43" w:rsidRDefault="00C35D43" w:rsidP="00C35D43">
      <w:pPr>
        <w:widowControl w:val="0"/>
        <w:tabs>
          <w:tab w:val="num" w:pos="720"/>
        </w:tabs>
        <w:bidi/>
        <w:spacing w:after="0"/>
        <w:ind w:firstLine="284"/>
        <w:jc w:val="both"/>
        <w:rPr>
          <w:rFonts w:cs="Abz-2 (Badr)" w:hint="cs"/>
          <w:spacing w:val="-2"/>
          <w:sz w:val="28"/>
          <w:szCs w:val="28"/>
          <w:rtl/>
        </w:rPr>
      </w:pPr>
      <w:r>
        <w:rPr>
          <w:rFonts w:cs="Abz-2 (Badr)" w:hint="cs"/>
          <w:spacing w:val="-2"/>
          <w:sz w:val="28"/>
          <w:szCs w:val="28"/>
          <w:rtl/>
        </w:rPr>
        <w:t>ولکن إشكال مدّعاه هو أنّ المدلول التصوّري في الأقسام الثلاثة من العموم يكون واحداً بناءً عليه، ولا يزيد على شمول المفهوم لكلّ ما يصلح أن ينطبق عليه، وأنّ اختلافها إنّما يظهر في مرحلة ترتّب الحكم على العام، بمعنى أنّ كيفيّة ترتّب الحكم على موضوعه في كلّ قسم تختلف عن كيفية ترتّبه في القسمين الآخرين.</w:t>
      </w:r>
    </w:p>
    <w:p w14:paraId="7B4D2ED5" w14:textId="77777777" w:rsidR="00C35D43" w:rsidRDefault="00C35D43" w:rsidP="00C35D43">
      <w:pPr>
        <w:widowControl w:val="0"/>
        <w:tabs>
          <w:tab w:val="num" w:pos="720"/>
        </w:tabs>
        <w:bidi/>
        <w:spacing w:after="0"/>
        <w:ind w:firstLine="284"/>
        <w:jc w:val="both"/>
        <w:rPr>
          <w:rFonts w:cs="Abz-2 (Badr)" w:hint="cs"/>
          <w:spacing w:val="-2"/>
          <w:sz w:val="28"/>
          <w:szCs w:val="28"/>
          <w:rtl/>
        </w:rPr>
      </w:pPr>
      <w:r>
        <w:rPr>
          <w:rFonts w:cs="Abz-2 (Badr)" w:hint="cs"/>
          <w:spacing w:val="-2"/>
          <w:sz w:val="28"/>
          <w:szCs w:val="28"/>
          <w:rtl/>
        </w:rPr>
        <w:t>مع أنّ الواقع أنّ اختلاف هذه الأقسام الثلاثة من العموم إنّما هو في مرحلة الدلالة التصوّريّة وقبل تعلّق الحكم بالعامّ، كما ندرك بالوجدان أنّ المعنى المستفاد من قولنا: «کلّ عالم» يغاير المعنى المفهوم من نحو: «أيّ عالم» أو «مجموع العلماء».</w:t>
      </w:r>
    </w:p>
    <w:p w14:paraId="5B0AA69A" w14:textId="77777777" w:rsidR="00C35D43" w:rsidRDefault="00C35D43" w:rsidP="00C35D43">
      <w:pPr>
        <w:widowControl w:val="0"/>
        <w:tabs>
          <w:tab w:val="num" w:pos="720"/>
        </w:tabs>
        <w:bidi/>
        <w:spacing w:after="0"/>
        <w:ind w:firstLine="284"/>
        <w:jc w:val="both"/>
        <w:rPr>
          <w:rFonts w:cs="Abz-2 (Badr)" w:hint="cs"/>
          <w:spacing w:val="-2"/>
          <w:sz w:val="28"/>
          <w:szCs w:val="28"/>
          <w:rtl/>
        </w:rPr>
      </w:pPr>
      <w:r>
        <w:rPr>
          <w:rFonts w:cs="Abz-2 (Badr)" w:hint="cs"/>
          <w:spacing w:val="-2"/>
          <w:sz w:val="28"/>
          <w:szCs w:val="28"/>
          <w:rtl/>
        </w:rPr>
        <w:t>بل إنّ السيّد الخميني اعتبر تقسيم العامّ على أساس كيفية تعلّق الحكم به غير معقول حيث صرّح قائلاً: إنّ تقسيم العامّ باعتبار نحو تعلّق الحكم به غير قابل للتصوّر؛ لأنّ الحكم تابع لموضوعه، وتعلّق حكم وحداني بموضوعات متعدّدة مأخوذة على نحو الاستغراق غير معقول، كما أنّ تعلّق حكم استغراقي بموضوع مأخوذ على نحو الوحدة أيضاً غير معقول. وأمّا الإهمال الثبوتي في موضوع الحكم فلا يتصوّر.</w:t>
      </w:r>
      <w:r>
        <w:rPr>
          <w:rStyle w:val="FootnoteReference"/>
          <w:rFonts w:cs="Abz-2 (Badr)"/>
          <w:spacing w:val="-2"/>
          <w:sz w:val="28"/>
          <w:szCs w:val="28"/>
          <w:rtl/>
        </w:rPr>
        <w:footnoteReference w:id="7"/>
      </w:r>
    </w:p>
    <w:p w14:paraId="42A63A49" w14:textId="77777777" w:rsidR="00C35D43" w:rsidRDefault="00C35D43" w:rsidP="00C35D43">
      <w:pPr>
        <w:widowControl w:val="0"/>
        <w:tabs>
          <w:tab w:val="num" w:pos="720"/>
        </w:tabs>
        <w:bidi/>
        <w:spacing w:after="0"/>
        <w:ind w:firstLine="284"/>
        <w:jc w:val="both"/>
        <w:rPr>
          <w:rFonts w:cs="Abz-2 (Badr)" w:hint="cs"/>
          <w:spacing w:val="-2"/>
          <w:sz w:val="28"/>
          <w:szCs w:val="28"/>
          <w:rtl/>
        </w:rPr>
      </w:pPr>
      <w:r>
        <w:rPr>
          <w:rFonts w:cs="Abz-2 (Badr)" w:hint="cs"/>
          <w:spacing w:val="-2"/>
          <w:sz w:val="28"/>
          <w:szCs w:val="28"/>
          <w:rtl/>
        </w:rPr>
        <w:t xml:space="preserve">وبعبارة أُخرى: إنّ بيان كيفيّة تعلّق الحكم بالموضوع يتوقّف أوّلاً على تحديد كيفيّة لحاظ الموضوع نفسه؛ فمتى ما لوحظ الموضوع على نحو خاصّ، امتنع أن يتعلّق به الحكم على نحو آخر. وأمّا القول بأنّ الموضوع كان مهملاً من دون أيّ لحاظ </w:t>
      </w:r>
      <w:r>
        <w:rPr>
          <w:rFonts w:cs="Abz-2 (Badr)" w:hint="cs"/>
          <w:spacing w:val="-2"/>
          <w:sz w:val="28"/>
          <w:szCs w:val="28"/>
          <w:rtl/>
        </w:rPr>
        <w:lastRenderedPageBreak/>
        <w:t>وأنّ كيفية تعلّق الحكم به تتحدّد بعد ثبوت الحكم، فدعوىً واضحة الفساد.</w:t>
      </w:r>
    </w:p>
    <w:p w14:paraId="7E16E246" w14:textId="77777777" w:rsidR="00C35D43" w:rsidRDefault="00C35D43" w:rsidP="00C35D43">
      <w:pPr>
        <w:widowControl w:val="0"/>
        <w:tabs>
          <w:tab w:val="num" w:pos="720"/>
        </w:tabs>
        <w:bidi/>
        <w:spacing w:after="0"/>
        <w:ind w:firstLine="284"/>
        <w:jc w:val="both"/>
        <w:rPr>
          <w:rFonts w:cs="Abz-2 (Badr)"/>
          <w:spacing w:val="-2"/>
          <w:sz w:val="28"/>
          <w:szCs w:val="28"/>
        </w:rPr>
      </w:pPr>
      <w:r>
        <w:rPr>
          <w:rFonts w:cs="Abz-2 (Badr)" w:hint="cs"/>
          <w:spacing w:val="-2"/>
          <w:sz w:val="28"/>
          <w:szCs w:val="28"/>
          <w:rtl/>
        </w:rPr>
        <w:t>وقد أذعن المحقّق الإصفهاني باستحالة تعيين نوع لحاظ الموضوع بمجرّد تعلّق الحكم به، وبيّن في توضيح مراد الآخوند أنّ مقصوده ليس ذلك، بل المراد أنّ العامّ باعتبار وقوعه في موضوع الحكم، يمكن أن يلحظ على أنحاء متعدّدة.</w:t>
      </w:r>
      <w:r>
        <w:rPr>
          <w:rStyle w:val="FootnoteReference"/>
          <w:rFonts w:cs="Abz-2 (Badr)"/>
          <w:spacing w:val="-2"/>
          <w:sz w:val="28"/>
          <w:szCs w:val="28"/>
          <w:rtl/>
        </w:rPr>
        <w:footnoteReference w:id="8"/>
      </w:r>
    </w:p>
    <w:p w14:paraId="4EF39CE0" w14:textId="77777777" w:rsidR="00C35D43" w:rsidRDefault="00C35D43" w:rsidP="00C35D43">
      <w:pPr>
        <w:widowControl w:val="0"/>
        <w:tabs>
          <w:tab w:val="num" w:pos="720"/>
        </w:tabs>
        <w:bidi/>
        <w:spacing w:after="0"/>
        <w:ind w:firstLine="284"/>
        <w:jc w:val="both"/>
        <w:rPr>
          <w:rFonts w:cs="Abz-2 (Badr)" w:hint="cs"/>
          <w:spacing w:val="-2"/>
          <w:sz w:val="28"/>
          <w:szCs w:val="28"/>
          <w:rtl/>
        </w:rPr>
      </w:pPr>
      <w:r>
        <w:rPr>
          <w:rFonts w:cs="Abz-2 (Badr)" w:hint="cs"/>
          <w:spacing w:val="-2"/>
          <w:sz w:val="28"/>
          <w:szCs w:val="28"/>
          <w:rtl/>
        </w:rPr>
        <w:t>ولكن نظراً إلى ورود الإشكال علی ظاهر تعريف الآخوند، ذكر السيّد الخميني في تعريف هذه الأقسام الثلاثة من العموم أنّ اللفظ الدالّ على العموم إذا دلّ على مصاديق الطبيعة على نحو عرضي من دون لحاظ اجتماعها ـ كألفاظ: «كلّ»</w:t>
      </w:r>
      <w:r>
        <w:rPr>
          <w:rFonts w:cs="Abz-2 (Badr)" w:hint="cs"/>
          <w:b/>
          <w:bCs/>
          <w:spacing w:val="-2"/>
          <w:sz w:val="28"/>
          <w:szCs w:val="28"/>
          <w:rtl/>
        </w:rPr>
        <w:t xml:space="preserve"> </w:t>
      </w:r>
      <w:r>
        <w:rPr>
          <w:rFonts w:cs="Abz-2 (Badr)" w:hint="cs"/>
          <w:spacing w:val="-2"/>
          <w:sz w:val="28"/>
          <w:szCs w:val="28"/>
          <w:rtl/>
        </w:rPr>
        <w:t>و«جميع» و«تمام» ـ كان ذلك هو العامّ الاستغراقي؛ فقولنا: «كلّ عالم» يدلّ على أفراد طبيعة «العالم» من دون أن يلحظ اجتماعهم أو تحوّلهم إلى موضوع واحد، بل يكون شموله لهم على نحو عرضي. وأمّا إذا لوحظت الوحدة والاجتماع في الأفراد على نحو تعرض عليهم وحدة اعتباريّة ويجعلون بمنزلة الأجزاء لكلّ واحد، كان ذلك هو العامّ المجموعي، ولا يبعد أن يكون لفظ «مجموع» في العرف مفيداً لهذا المعنى. وإذا دلّ اللفظ على الأفراد على نحو البدل لا على نحو العرضيّة، كان ذلك هو العامّ البدلي، كما في «أيّ» الاستفهاميّة. بل قد يستعمل العموم البدلي في غير الاستفهام أيضاً، نحو: «زكِّ مالك من أيّ مصداق شئت»، و«اذهب من أيّ طريق أردت»، وهذه الموارد أيضاً تدلّ بالوضع على العموم البدلي.</w:t>
      </w:r>
      <w:r>
        <w:rPr>
          <w:rStyle w:val="FootnoteReference"/>
          <w:rFonts w:cs="Abz-2 (Badr)"/>
          <w:spacing w:val="-2"/>
          <w:sz w:val="28"/>
          <w:szCs w:val="28"/>
          <w:rtl/>
        </w:rPr>
        <w:footnoteReference w:id="9"/>
      </w:r>
    </w:p>
    <w:bookmarkEnd w:id="1"/>
    <w:p w14:paraId="72D62A8B" w14:textId="77777777" w:rsidR="00C35D43" w:rsidRDefault="00C35D43" w:rsidP="00C35D43">
      <w:pPr>
        <w:widowControl w:val="0"/>
        <w:tabs>
          <w:tab w:val="num" w:pos="720"/>
        </w:tabs>
        <w:bidi/>
        <w:spacing w:after="0"/>
        <w:ind w:firstLine="284"/>
        <w:jc w:val="both"/>
        <w:rPr>
          <w:rFonts w:cs="Abz-2 (Badr)" w:hint="cs"/>
          <w:spacing w:val="-2"/>
          <w:sz w:val="28"/>
          <w:szCs w:val="28"/>
          <w:rtl/>
          <w:lang w:bidi="fa-IR"/>
        </w:rPr>
      </w:pPr>
      <w:r>
        <w:rPr>
          <w:rFonts w:cs="Abz-2 (Badr)" w:hint="cs"/>
          <w:spacing w:val="-2"/>
          <w:sz w:val="28"/>
          <w:szCs w:val="28"/>
          <w:rtl/>
        </w:rPr>
        <w:t>وسنستكمل بقيّة المطالب في الجلسة القادمة إن شاء الله تعالى.</w:t>
      </w:r>
    </w:p>
    <w:p w14:paraId="7D9979DE" w14:textId="26D41A3F" w:rsidR="001B24FC" w:rsidRPr="00C35D43" w:rsidRDefault="001B24FC" w:rsidP="00C35D43">
      <w:pPr>
        <w:rPr>
          <w:rtl/>
        </w:rPr>
      </w:pPr>
    </w:p>
    <w:sectPr w:rsidR="001B24FC" w:rsidRPr="00C35D43"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812C0" w14:textId="77777777" w:rsidR="00A77E2E" w:rsidRDefault="00A77E2E" w:rsidP="00C336C5">
      <w:pPr>
        <w:spacing w:after="0" w:line="240" w:lineRule="auto"/>
      </w:pPr>
      <w:r>
        <w:separator/>
      </w:r>
    </w:p>
  </w:endnote>
  <w:endnote w:type="continuationSeparator" w:id="0">
    <w:p w14:paraId="0A73DD47" w14:textId="77777777" w:rsidR="00A77E2E" w:rsidRDefault="00A77E2E" w:rsidP="00C336C5">
      <w:pPr>
        <w:spacing w:after="0" w:line="240" w:lineRule="auto"/>
      </w:pPr>
      <w:r>
        <w:continuationSeparator/>
      </w:r>
    </w:p>
  </w:endnote>
  <w:endnote w:type="continuationNotice" w:id="1">
    <w:p w14:paraId="0CA89CB7" w14:textId="77777777" w:rsidR="00A77E2E" w:rsidRDefault="00A77E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18B8" w14:textId="77777777" w:rsidR="002F16B4" w:rsidRDefault="002F1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EAD7" w14:textId="77777777" w:rsidR="002F16B4" w:rsidRDefault="002F1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418BB" w14:textId="77777777" w:rsidR="00A77E2E" w:rsidRDefault="00A77E2E" w:rsidP="00C336C5">
      <w:pPr>
        <w:bidi/>
        <w:spacing w:after="0" w:line="240" w:lineRule="auto"/>
      </w:pPr>
      <w:r>
        <w:separator/>
      </w:r>
    </w:p>
  </w:footnote>
  <w:footnote w:type="continuationSeparator" w:id="0">
    <w:p w14:paraId="698C2703" w14:textId="77777777" w:rsidR="00A77E2E" w:rsidRDefault="00A77E2E" w:rsidP="00C336C5">
      <w:pPr>
        <w:spacing w:after="0" w:line="240" w:lineRule="auto"/>
      </w:pPr>
      <w:r>
        <w:continuationSeparator/>
      </w:r>
    </w:p>
  </w:footnote>
  <w:footnote w:type="continuationNotice" w:id="1">
    <w:p w14:paraId="5E6C9A38" w14:textId="77777777" w:rsidR="00A77E2E" w:rsidRDefault="00A77E2E">
      <w:pPr>
        <w:spacing w:after="0" w:line="240" w:lineRule="auto"/>
      </w:pPr>
    </w:p>
  </w:footnote>
  <w:footnote w:id="2">
    <w:p w14:paraId="1D2B094A" w14:textId="77777777" w:rsidR="00C35D43" w:rsidRDefault="00C35D43" w:rsidP="00C35D43">
      <w:pPr>
        <w:pStyle w:val="FootnoteText"/>
        <w:bidi/>
        <w:jc w:val="left"/>
        <w:rPr>
          <w:rFonts w:cs="Abz-2 (Badr)" w:hint="cs"/>
          <w:rtl/>
          <w:lang w:bidi="fa-IR"/>
        </w:rPr>
      </w:pPr>
      <w:r>
        <w:rPr>
          <w:rFonts w:cs="Abz-2 (Badr)"/>
          <w:lang w:bidi="fa-IR"/>
        </w:rPr>
        <w:footnoteRef/>
      </w:r>
      <w:r>
        <w:rPr>
          <w:rFonts w:cs="Abz-2 (Badr)" w:hint="cs"/>
          <w:rtl/>
          <w:lang w:bidi="fa-IR"/>
        </w:rPr>
        <w:t xml:space="preserve"> ـ راجع: کفاية الأُصول،ص216.</w:t>
      </w:r>
    </w:p>
  </w:footnote>
  <w:footnote w:id="3">
    <w:p w14:paraId="171019DA" w14:textId="77777777" w:rsidR="00C35D43" w:rsidRDefault="00C35D43" w:rsidP="00C35D4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مناهج الوصول،ج2،ص237.</w:t>
      </w:r>
    </w:p>
  </w:footnote>
  <w:footnote w:id="4">
    <w:p w14:paraId="5FBC7BFD" w14:textId="77777777" w:rsidR="00C35D43" w:rsidRDefault="00C35D43" w:rsidP="00C35D4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الدراية،ج2،ص444.</w:t>
      </w:r>
    </w:p>
  </w:footnote>
  <w:footnote w:id="5">
    <w:p w14:paraId="5CED70CD" w14:textId="77777777" w:rsidR="00C35D43" w:rsidRDefault="00C35D43" w:rsidP="00C35D4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همان،ص234 و 235.</w:t>
      </w:r>
    </w:p>
  </w:footnote>
  <w:footnote w:id="6">
    <w:p w14:paraId="1C0D44C9" w14:textId="77777777" w:rsidR="00C35D43" w:rsidRDefault="00C35D43" w:rsidP="00C35D4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الأُصول،ص216.</w:t>
      </w:r>
    </w:p>
  </w:footnote>
  <w:footnote w:id="7">
    <w:p w14:paraId="4414A477" w14:textId="77777777" w:rsidR="00C35D43" w:rsidRDefault="00C35D43" w:rsidP="00C35D4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مناهج الوصول،ج2،ص237.</w:t>
      </w:r>
    </w:p>
  </w:footnote>
  <w:footnote w:id="8">
    <w:p w14:paraId="66F65413" w14:textId="77777777" w:rsidR="00C35D43" w:rsidRDefault="00C35D43" w:rsidP="00C35D4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الدراية،ج2،ص444.</w:t>
      </w:r>
    </w:p>
  </w:footnote>
  <w:footnote w:id="9">
    <w:p w14:paraId="13045DDB" w14:textId="77777777" w:rsidR="00C35D43" w:rsidRDefault="00C35D43" w:rsidP="00C35D4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المصدر نفسه،ص234 و 235.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80E1" w14:textId="77777777" w:rsidR="002F16B4" w:rsidRDefault="002F16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3D931553" w:rsidR="008666ED" w:rsidRDefault="008666ED" w:rsidP="008666ED">
                          <w:pPr>
                            <w:bidi/>
                          </w:pPr>
                          <w:r>
                            <w:rPr>
                              <w:rFonts w:cs="B Mehr" w:hint="cs"/>
                              <w:rtl/>
                            </w:rPr>
                            <w:t xml:space="preserve">تاریخ :  </w:t>
                          </w:r>
                          <w:r w:rsidR="00C35D43">
                            <w:rPr>
                              <w:rFonts w:cs="B Mehr" w:hint="cs"/>
                              <w:rtl/>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C35D43">
                            <w:rPr>
                              <w:rFonts w:cs="B Mehr" w:hint="cs"/>
                              <w:rtl/>
                              <w:lang w:bidi="fa-IR"/>
                            </w:rPr>
                            <w:t>15</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3D931553" w:rsidR="008666ED" w:rsidRDefault="008666ED" w:rsidP="008666ED">
                    <w:pPr>
                      <w:bidi/>
                    </w:pPr>
                    <w:r>
                      <w:rPr>
                        <w:rFonts w:cs="B Mehr" w:hint="cs"/>
                        <w:rtl/>
                      </w:rPr>
                      <w:t xml:space="preserve">تاریخ :  </w:t>
                    </w:r>
                    <w:r w:rsidR="00C35D43">
                      <w:rPr>
                        <w:rFonts w:cs="B Mehr" w:hint="cs"/>
                        <w:rtl/>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C35D43">
                      <w:rPr>
                        <w:rFonts w:cs="B Mehr" w:hint="cs"/>
                        <w:rtl/>
                        <w:lang w:bidi="fa-IR"/>
                      </w:rPr>
                      <w:t>15</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7060" w14:textId="77777777" w:rsidR="002F16B4" w:rsidRDefault="002F16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1</Pages>
  <Words>965</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1202</cp:revision>
  <cp:lastPrinted>2025-04-15T09:36:00Z</cp:lastPrinted>
  <dcterms:created xsi:type="dcterms:W3CDTF">2022-10-16T08:36:00Z</dcterms:created>
  <dcterms:modified xsi:type="dcterms:W3CDTF">2025-10-07T16:16:00Z</dcterms:modified>
</cp:coreProperties>
</file>