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39217" w14:textId="77777777" w:rsidR="00972897" w:rsidRDefault="00972897" w:rsidP="00972897">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6C284050" w14:textId="77777777" w:rsidR="00972897" w:rsidRDefault="00972897" w:rsidP="00972897">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5F383399" w14:textId="77777777" w:rsidR="00972897" w:rsidRDefault="00972897" w:rsidP="00972897">
      <w:pPr>
        <w:widowControl w:val="0"/>
        <w:bidi/>
        <w:spacing w:after="240"/>
        <w:jc w:val="center"/>
        <w:rPr>
          <w:rFonts w:cs="B Mitra" w:hint="cs"/>
          <w:b/>
          <w:bCs/>
          <w:sz w:val="32"/>
          <w:szCs w:val="32"/>
          <w:rtl/>
          <w:lang w:bidi="fa-IR"/>
        </w:rPr>
      </w:pPr>
      <w:r>
        <w:rPr>
          <w:rFonts w:cs="B Mitra" w:hint="cs"/>
          <w:b/>
          <w:bCs/>
          <w:sz w:val="32"/>
          <w:szCs w:val="32"/>
          <w:rtl/>
          <w:lang w:bidi="fa-IR"/>
        </w:rPr>
        <w:t>جلسه 944</w:t>
      </w:r>
    </w:p>
    <w:bookmarkEnd w:id="0"/>
    <w:p w14:paraId="0A205C36" w14:textId="77777777" w:rsidR="00972897" w:rsidRDefault="00972897" w:rsidP="00972897">
      <w:pPr>
        <w:widowControl w:val="0"/>
        <w:bidi/>
        <w:spacing w:before="240" w:line="264" w:lineRule="auto"/>
        <w:ind w:firstLine="289"/>
        <w:jc w:val="both"/>
        <w:rPr>
          <w:rFonts w:cs="2  Mitra" w:hint="cs"/>
          <w:sz w:val="28"/>
          <w:szCs w:val="28"/>
          <w:rtl/>
        </w:rPr>
      </w:pPr>
      <w:r>
        <w:rPr>
          <w:rFonts w:cs="2  Mitra" w:hint="cs"/>
          <w:sz w:val="28"/>
          <w:szCs w:val="28"/>
          <w:rtl/>
        </w:rPr>
        <w:t>ادامه اشکالات مدعای شهيد صدر به قرار ذیل است:</w:t>
      </w:r>
    </w:p>
    <w:p w14:paraId="167E3F1D" w14:textId="77777777" w:rsidR="00972897" w:rsidRDefault="00972897" w:rsidP="00972897">
      <w:pPr>
        <w:widowControl w:val="0"/>
        <w:bidi/>
        <w:spacing w:before="240" w:line="264" w:lineRule="auto"/>
        <w:ind w:firstLine="289"/>
        <w:jc w:val="both"/>
        <w:rPr>
          <w:rFonts w:cs="2  Mitra" w:hint="cs"/>
          <w:sz w:val="28"/>
          <w:szCs w:val="28"/>
          <w:rtl/>
        </w:rPr>
      </w:pPr>
      <w:r>
        <w:rPr>
          <w:rFonts w:cs="2  Mitra" w:hint="cs"/>
          <w:sz w:val="28"/>
          <w:szCs w:val="28"/>
          <w:rtl/>
        </w:rPr>
        <w:t>ثانياً: اگر شمول موضوع له لفظ «کلّ» بر افراد مدخول بدین معنا باشد که به نحو مشترک لفظی برای آن افراد وضع شده است، این مطلب دیگر به معنای عموم و شمول لفظ «کلّ» بر افراد یک مفهوم نخواهد بود.</w:t>
      </w:r>
    </w:p>
    <w:p w14:paraId="0447F78F" w14:textId="77777777" w:rsidR="00972897" w:rsidRDefault="00972897" w:rsidP="00972897">
      <w:pPr>
        <w:widowControl w:val="0"/>
        <w:bidi/>
        <w:spacing w:before="240" w:line="264" w:lineRule="auto"/>
        <w:ind w:firstLine="289"/>
        <w:jc w:val="both"/>
        <w:rPr>
          <w:rFonts w:cs="2  Mitra" w:hint="cs"/>
          <w:sz w:val="28"/>
          <w:szCs w:val="28"/>
          <w:rtl/>
        </w:rPr>
      </w:pPr>
      <w:r>
        <w:rPr>
          <w:rFonts w:cs="2  Mitra" w:hint="cs"/>
          <w:sz w:val="28"/>
          <w:szCs w:val="28"/>
          <w:rtl/>
        </w:rPr>
        <w:t>و اگر مقصود این باشد که «کلّ» برای هر یک از آن افراد به شرط همراهی با بقیه‌ی افراد وضع شده است، در این صورت ـ با توجه به این‌که گفتیم لازمه‌ی مدعای شهید صدر آن است که لفظ «کلّ» برای افراد تمام مفاهیم وضع شده باشد و ورود آن بر هر مدخولی، موجب تحصیص معنای موضوع له آن گردد ـ باید استعمال آن را در همه‌ی موارد، استعمالی مجازی و در غیر ما وضع ‌له بدانیم که چنین ادعایی پذیرفتنی نبوده و با وجدان مخالف است.</w:t>
      </w:r>
    </w:p>
    <w:p w14:paraId="57F0C904" w14:textId="77777777" w:rsidR="00972897" w:rsidRDefault="00972897" w:rsidP="00972897">
      <w:pPr>
        <w:widowControl w:val="0"/>
        <w:bidi/>
        <w:spacing w:before="240" w:line="264" w:lineRule="auto"/>
        <w:ind w:firstLine="289"/>
        <w:jc w:val="both"/>
        <w:rPr>
          <w:rFonts w:cs="2  Mitra" w:hint="cs"/>
          <w:sz w:val="28"/>
          <w:szCs w:val="28"/>
          <w:rtl/>
        </w:rPr>
      </w:pPr>
      <w:r>
        <w:rPr>
          <w:rFonts w:cs="2  Mitra" w:hint="cs"/>
          <w:sz w:val="28"/>
          <w:szCs w:val="28"/>
          <w:rtl/>
        </w:rPr>
        <w:t>ثالثاً: این که لفظ «کلّ» اسم است و می‌تواند به عنوان مبتدا واقع شود، ارتباطی با مدّعای ایشان ندارد؛ زیرا نقش نحوی یک کلمه، با معنای موضوع له آن ارتباطی پیدا نمی‌کند و نهایتاً می‌تواند نشان دهد که آن لفظ، دارای معنای اسمی یا حرفی است.</w:t>
      </w:r>
    </w:p>
    <w:p w14:paraId="4B5C94C4" w14:textId="77777777" w:rsidR="00972897" w:rsidRDefault="00972897" w:rsidP="00972897">
      <w:pPr>
        <w:widowControl w:val="0"/>
        <w:bidi/>
        <w:spacing w:before="240" w:line="264" w:lineRule="auto"/>
        <w:ind w:firstLine="289"/>
        <w:jc w:val="both"/>
        <w:rPr>
          <w:rFonts w:cs="2  Mitra" w:hint="cs"/>
          <w:sz w:val="28"/>
          <w:szCs w:val="28"/>
          <w:rtl/>
        </w:rPr>
      </w:pPr>
      <w:r>
        <w:rPr>
          <w:rFonts w:cs="2  Mitra" w:hint="cs"/>
          <w:sz w:val="28"/>
          <w:szCs w:val="28"/>
          <w:rtl/>
        </w:rPr>
        <w:t>بنابر این با پذیرش این‌که لفظ «کلّ» دارای معنای اسمی است، می‌توان بر مدّعای شهید صدر اشکال کرد و گفت: اسمی بودن معنا لزوماً به این معنا نیست که لفظ «کلّ» دربرگیرنده‌ی افراد مدخول خود باشد؛ بلکه این معنا می‌تواند مفهوم «تک تک افراد مفهومی ديگر» باشد که در ترکیب با مدخول «کلّ»، نسبتی ایجاد می‌کند که از آن نسبت، عموم و شمول مدخول بر افراد خود برداشت می‌شود.</w:t>
      </w:r>
    </w:p>
    <w:p w14:paraId="39C3F5C6" w14:textId="77777777" w:rsidR="00972897" w:rsidRDefault="00972897" w:rsidP="00972897">
      <w:pPr>
        <w:widowControl w:val="0"/>
        <w:bidi/>
        <w:spacing w:before="240" w:line="264" w:lineRule="auto"/>
        <w:ind w:firstLine="289"/>
        <w:jc w:val="both"/>
        <w:rPr>
          <w:rFonts w:cs="2  Mitra" w:hint="cs"/>
          <w:sz w:val="28"/>
          <w:szCs w:val="28"/>
          <w:rtl/>
        </w:rPr>
      </w:pPr>
      <w:r>
        <w:rPr>
          <w:rFonts w:cs="2  Mitra" w:hint="cs"/>
          <w:sz w:val="28"/>
          <w:szCs w:val="28"/>
          <w:rtl/>
        </w:rPr>
        <w:t>به بیان دیگر، لفظ «کلّ» سبب می‌شود که مدخول آن، طرف نسبتی واقع شود که به‌واسطه‌ی آن، همه‌ی افراد آن مفهوم، ملحوظ گردند و از این جهت، تفاوتی میان این‌که مفهومی، مدخول لفظ «کلّ» قرار گیرد یا این‌که هیأتی بر لفظ عارض شود که افاده‌ی چنین نسبتی نماید، وجود ندارد.</w:t>
      </w:r>
    </w:p>
    <w:p w14:paraId="2DB88D37" w14:textId="77777777" w:rsidR="00972897" w:rsidRDefault="00972897" w:rsidP="00972897">
      <w:pPr>
        <w:widowControl w:val="0"/>
        <w:bidi/>
        <w:spacing w:before="240"/>
        <w:ind w:firstLine="289"/>
        <w:jc w:val="both"/>
        <w:rPr>
          <w:rFonts w:cs="2  Mitra" w:hint="cs"/>
          <w:sz w:val="28"/>
          <w:szCs w:val="28"/>
          <w:rtl/>
        </w:rPr>
      </w:pPr>
      <w:r>
        <w:rPr>
          <w:rFonts w:cs="2  Mitra" w:hint="cs"/>
          <w:sz w:val="28"/>
          <w:szCs w:val="28"/>
          <w:rtl/>
        </w:rPr>
        <w:lastRenderedPageBreak/>
        <w:t>البته مرحوم شهید صدر، مدّعای خود را به مرحوم محقق عراقی نیز نسبت داده و فرموده‌اند که ایشان نیز قائل به همین مطلب هستند؛ حال آن‌که با مراجعه به کلمات مرحوم محقق عراقی، نادرستی این نسبت آشکار می‌گردد.</w:t>
      </w:r>
    </w:p>
    <w:p w14:paraId="1C0E3A1E" w14:textId="77777777" w:rsidR="00972897" w:rsidRDefault="00972897" w:rsidP="00972897">
      <w:pPr>
        <w:widowControl w:val="0"/>
        <w:bidi/>
        <w:spacing w:before="240"/>
        <w:ind w:firstLine="289"/>
        <w:jc w:val="both"/>
        <w:rPr>
          <w:rFonts w:cs="2  Mitra" w:hint="cs"/>
          <w:sz w:val="28"/>
          <w:szCs w:val="28"/>
          <w:rtl/>
        </w:rPr>
      </w:pPr>
      <w:r>
        <w:rPr>
          <w:rFonts w:cs="2  Mitra" w:hint="cs"/>
          <w:sz w:val="28"/>
          <w:szCs w:val="28"/>
          <w:rtl/>
        </w:rPr>
        <w:t>مرحوم محقق عراقی پس از اين که در تعريف عموم، آن را به معنای احاطه و شمول نسبت به افراد به نحو عرضی یا بدلی دانسته</w:t>
      </w:r>
      <w:r>
        <w:rPr>
          <w:rFonts w:cs="2  Mitra" w:hint="cs"/>
          <w:sz w:val="28"/>
          <w:szCs w:val="28"/>
          <w:rtl/>
        </w:rPr>
        <w:softHyphen/>
        <w:t>اند و گفته</w:t>
      </w:r>
      <w:r>
        <w:rPr>
          <w:rFonts w:cs="2  Mitra" w:hint="cs"/>
          <w:sz w:val="28"/>
          <w:szCs w:val="28"/>
          <w:rtl/>
        </w:rPr>
        <w:softHyphen/>
        <w:t>اند که مرادشان مفهوم «احاطه» نيست، بلکه منظور واقع احاطه و مصداق آن است که منشأ انتزاع این مفهوم است، و این در حقیقت معنایی حرفی می‌باشد، می</w:t>
      </w:r>
      <w:r>
        <w:rPr>
          <w:rFonts w:cs="2  Mitra" w:hint="cs"/>
          <w:sz w:val="28"/>
          <w:szCs w:val="28"/>
          <w:rtl/>
        </w:rPr>
        <w:softHyphen/>
        <w:t>فرمايند: اشکالی در این‌جا مطرح شده است، مبنی بر این‌که لازمه‌ی این قول آن است که نتوان احکام اسم را بر الفاظی که برای عموم وضع شده‌اند ـ مانند «کلّ»، «جمیع»، «مجموع» و امثال آن ـ جاری ساخت، در حالی‌که قطعاً چنین نیست.</w:t>
      </w:r>
      <w:r>
        <w:rPr>
          <w:rStyle w:val="FootnoteReference"/>
          <w:rFonts w:cs="2  Mitra"/>
          <w:spacing w:val="-2"/>
          <w:sz w:val="28"/>
          <w:szCs w:val="28"/>
          <w:rtl/>
        </w:rPr>
        <w:footnoteReference w:id="2"/>
      </w:r>
    </w:p>
    <w:p w14:paraId="68D86125" w14:textId="77777777" w:rsidR="00972897" w:rsidRDefault="00972897" w:rsidP="00972897">
      <w:pPr>
        <w:widowControl w:val="0"/>
        <w:bidi/>
        <w:spacing w:before="240"/>
        <w:ind w:firstLine="289"/>
        <w:jc w:val="both"/>
        <w:rPr>
          <w:rFonts w:cs="2  Mitra" w:hint="cs"/>
          <w:sz w:val="28"/>
          <w:szCs w:val="28"/>
          <w:rtl/>
        </w:rPr>
      </w:pPr>
      <w:r>
        <w:rPr>
          <w:rFonts w:cs="2  Mitra" w:hint="cs"/>
          <w:sz w:val="28"/>
          <w:szCs w:val="28"/>
          <w:rtl/>
        </w:rPr>
        <w:t>سپس در مقام دفع اين اشکال برمی</w:t>
      </w:r>
      <w:r>
        <w:rPr>
          <w:rFonts w:cs="2  Mitra" w:hint="cs"/>
          <w:sz w:val="28"/>
          <w:szCs w:val="28"/>
          <w:rtl/>
        </w:rPr>
        <w:softHyphen/>
        <w:t>آيند که مطالب ايشان در اين خصوص را جلسه آينده مطرح خواهيم کرد ان شاء الله.</w:t>
      </w:r>
    </w:p>
    <w:p w14:paraId="5013B6E3" w14:textId="77777777" w:rsidR="00972897" w:rsidRDefault="00972897" w:rsidP="00972897">
      <w:pPr>
        <w:rPr>
          <w:rFonts w:cs="2  Mitra" w:hint="cs"/>
          <w:sz w:val="28"/>
          <w:szCs w:val="28"/>
          <w:rtl/>
        </w:rPr>
      </w:pPr>
      <w:r>
        <w:rPr>
          <w:rFonts w:cs="2  Mitra" w:hint="cs"/>
          <w:sz w:val="28"/>
          <w:szCs w:val="28"/>
          <w:rtl/>
        </w:rPr>
        <w:br w:type="page"/>
      </w:r>
    </w:p>
    <w:p w14:paraId="1F5BF244" w14:textId="77777777" w:rsidR="00972897" w:rsidRDefault="00972897" w:rsidP="00972897">
      <w:pPr>
        <w:widowControl w:val="0"/>
        <w:bidi/>
        <w:spacing w:after="0"/>
        <w:ind w:firstLine="289"/>
        <w:jc w:val="both"/>
        <w:rPr>
          <w:rFonts w:cs="Abz-2 (Badr)" w:hint="cs"/>
          <w:spacing w:val="-2"/>
          <w:sz w:val="28"/>
          <w:szCs w:val="28"/>
          <w:rtl/>
          <w:lang w:bidi="fa-IR"/>
        </w:rPr>
      </w:pPr>
      <w:r>
        <w:rPr>
          <w:rFonts w:cs="Abz-2 (Badr)" w:hint="cs"/>
          <w:spacing w:val="-2"/>
          <w:sz w:val="28"/>
          <w:szCs w:val="28"/>
          <w:rtl/>
        </w:rPr>
        <w:lastRenderedPageBreak/>
        <w:t>بقيّة الإشكالات على مدّعى الشهيد الصدر كما يلي</w:t>
      </w:r>
      <w:r>
        <w:rPr>
          <w:rFonts w:cs="Abz-2 (Badr)" w:hint="cs"/>
          <w:spacing w:val="-2"/>
          <w:sz w:val="28"/>
          <w:szCs w:val="28"/>
          <w:rtl/>
          <w:lang w:bidi="fa-IR"/>
        </w:rPr>
        <w:t>:</w:t>
      </w:r>
    </w:p>
    <w:p w14:paraId="2569DF57" w14:textId="77777777" w:rsidR="00972897" w:rsidRDefault="00972897" w:rsidP="00972897">
      <w:pPr>
        <w:widowControl w:val="0"/>
        <w:bidi/>
        <w:spacing w:after="0"/>
        <w:ind w:firstLine="284"/>
        <w:jc w:val="both"/>
        <w:rPr>
          <w:rFonts w:cs="Abz-2 (Badr)"/>
          <w:spacing w:val="-2"/>
          <w:sz w:val="28"/>
          <w:szCs w:val="28"/>
          <w:lang w:bidi="fa-IR"/>
        </w:rPr>
      </w:pPr>
      <w:r>
        <w:rPr>
          <w:rFonts w:cs="Abz-2 (Badr)" w:hint="cs"/>
          <w:spacing w:val="-2"/>
          <w:sz w:val="28"/>
          <w:szCs w:val="28"/>
          <w:rtl/>
        </w:rPr>
        <w:t>ثانياً</w:t>
      </w:r>
      <w:r>
        <w:rPr>
          <w:rFonts w:cs="Abz-2 (Badr)" w:hint="cs"/>
          <w:spacing w:val="-2"/>
          <w:sz w:val="28"/>
          <w:szCs w:val="28"/>
          <w:rtl/>
          <w:lang w:bidi="fa-IR"/>
        </w:rPr>
        <w:t xml:space="preserve">: </w:t>
      </w:r>
      <w:r>
        <w:rPr>
          <w:rFonts w:cs="Abz-2 (Badr)" w:hint="cs"/>
          <w:spacing w:val="-2"/>
          <w:sz w:val="28"/>
          <w:szCs w:val="28"/>
          <w:rtl/>
        </w:rPr>
        <w:t>لو كان شمول الموضوع له للفظ «كلّ» على أفراد مدخوله بمعنى أنّه وضع لتلك الأفراد على نحو الاشتراك اللفظي، لما دلّ ذلك على العموم</w:t>
      </w:r>
      <w:r>
        <w:rPr>
          <w:rFonts w:cs="Abz-2 (Badr)" w:hint="cs"/>
          <w:spacing w:val="-2"/>
          <w:sz w:val="28"/>
          <w:szCs w:val="28"/>
          <w:rtl/>
          <w:lang w:bidi="fa-IR"/>
        </w:rPr>
        <w:t>.</w:t>
      </w:r>
    </w:p>
    <w:p w14:paraId="69A9CEC4" w14:textId="77777777" w:rsidR="00972897" w:rsidRDefault="00972897" w:rsidP="00972897">
      <w:pPr>
        <w:widowControl w:val="0"/>
        <w:bidi/>
        <w:spacing w:after="0"/>
        <w:ind w:firstLine="284"/>
        <w:jc w:val="both"/>
        <w:rPr>
          <w:rFonts w:cs="Abz-2 (Badr)"/>
          <w:spacing w:val="-2"/>
          <w:sz w:val="28"/>
          <w:szCs w:val="28"/>
        </w:rPr>
      </w:pPr>
      <w:r>
        <w:rPr>
          <w:rFonts w:cs="Abz-2 (Badr)" w:hint="cs"/>
          <w:spacing w:val="-2"/>
          <w:sz w:val="28"/>
          <w:szCs w:val="28"/>
          <w:rtl/>
        </w:rPr>
        <w:t>وأمّا إذا كان المقصود أنّ «كلّ» وضع لكلّ واحد من تلك الأفراد بشرط انضمامه إلى سائر الأفراد، فعلى ضوء ما تقدّم من أنّ لازم مدّعى الشهيد الصدر هو أن يكون لفظ «كلّ» موضوعاً لأفراد جميع المفاهيم وأنّ دخوله على أيّ مدخول يوجب تحصيص معنى الموضوع له، يلزم حينئذٍ القول بأنّ استعماله في جميع الموارد استعمال مجازي وفي غير ما وضع له، وهو ادّعاء غير مقبول ومخالف للوجدان.</w:t>
      </w:r>
    </w:p>
    <w:p w14:paraId="326E1DF4" w14:textId="77777777" w:rsidR="00972897" w:rsidRDefault="00972897" w:rsidP="00972897">
      <w:pPr>
        <w:widowControl w:val="0"/>
        <w:bidi/>
        <w:spacing w:after="0"/>
        <w:ind w:firstLine="284"/>
        <w:jc w:val="both"/>
        <w:rPr>
          <w:rFonts w:cs="Abz-2 (Badr)" w:hint="cs"/>
          <w:spacing w:val="-2"/>
          <w:sz w:val="28"/>
          <w:szCs w:val="28"/>
          <w:rtl/>
        </w:rPr>
      </w:pPr>
      <w:r>
        <w:rPr>
          <w:rFonts w:cs="Abz-2 (Badr)" w:hint="cs"/>
          <w:spacing w:val="-2"/>
          <w:sz w:val="28"/>
          <w:szCs w:val="28"/>
          <w:rtl/>
        </w:rPr>
        <w:t xml:space="preserve">ثالثاً: إنّ كون لفظ </w:t>
      </w:r>
      <w:r>
        <w:rPr>
          <w:rFonts w:cs="Abz-2 (Badr)" w:hint="cs"/>
          <w:spacing w:val="-2"/>
          <w:sz w:val="28"/>
          <w:szCs w:val="28"/>
          <w:rtl/>
          <w:lang w:bidi="fa-IR"/>
        </w:rPr>
        <w:t>«</w:t>
      </w:r>
      <w:r>
        <w:rPr>
          <w:rFonts w:cs="Abz-2 (Badr)" w:hint="cs"/>
          <w:spacing w:val="-2"/>
          <w:sz w:val="28"/>
          <w:szCs w:val="28"/>
          <w:rtl/>
        </w:rPr>
        <w:t>كلّ» اسماً يمكن أن يقع مبتدأً لا يرتبط بمدّعاه؛ لأنّ الوظيفة النحويّة للكلمة لا تلازم بينها وبين معناها الموضوع له، وإنّما غايتها إظهار كون اللفظ ذا معنى اسمي أو حرفي فحسب.</w:t>
      </w:r>
    </w:p>
    <w:p w14:paraId="457FF0EF" w14:textId="77777777" w:rsidR="00972897" w:rsidRDefault="00972897" w:rsidP="00972897">
      <w:pPr>
        <w:widowControl w:val="0"/>
        <w:bidi/>
        <w:spacing w:after="0"/>
        <w:ind w:firstLine="284"/>
        <w:jc w:val="both"/>
        <w:rPr>
          <w:rFonts w:cs="Abz-2 (Badr)" w:hint="cs"/>
          <w:spacing w:val="-2"/>
          <w:sz w:val="28"/>
          <w:szCs w:val="28"/>
          <w:rtl/>
          <w:lang w:bidi="fa-IR"/>
        </w:rPr>
      </w:pPr>
      <w:r>
        <w:rPr>
          <w:rFonts w:cs="Abz-2 (Badr)" w:hint="cs"/>
          <w:spacing w:val="-2"/>
          <w:sz w:val="28"/>
          <w:szCs w:val="28"/>
          <w:rtl/>
        </w:rPr>
        <w:t xml:space="preserve">وعلى هذا الأساس، فمع التسليم بأنّ لفظ </w:t>
      </w:r>
      <w:r>
        <w:rPr>
          <w:rFonts w:cs="Abz-2 (Badr)" w:hint="cs"/>
          <w:spacing w:val="-2"/>
          <w:sz w:val="28"/>
          <w:szCs w:val="28"/>
          <w:rtl/>
          <w:lang w:bidi="fa-IR"/>
        </w:rPr>
        <w:t>«</w:t>
      </w:r>
      <w:r>
        <w:rPr>
          <w:rFonts w:cs="Abz-2 (Badr)" w:hint="cs"/>
          <w:spacing w:val="-2"/>
          <w:sz w:val="28"/>
          <w:szCs w:val="28"/>
          <w:rtl/>
        </w:rPr>
        <w:t xml:space="preserve">كلّ» ذو معنىً اسمي، يمكن القول بأنّ كون المعنى اسميّاً لا يستلزم أن يكون لفظ </w:t>
      </w:r>
      <w:r>
        <w:rPr>
          <w:rFonts w:cs="Abz-2 (Badr)" w:hint="cs"/>
          <w:spacing w:val="-2"/>
          <w:sz w:val="28"/>
          <w:szCs w:val="28"/>
          <w:rtl/>
          <w:lang w:bidi="fa-IR"/>
        </w:rPr>
        <w:t>«</w:t>
      </w:r>
      <w:r>
        <w:rPr>
          <w:rFonts w:cs="Abz-2 (Badr)" w:hint="cs"/>
          <w:spacing w:val="-2"/>
          <w:sz w:val="28"/>
          <w:szCs w:val="28"/>
          <w:rtl/>
        </w:rPr>
        <w:t xml:space="preserve">كلّ» مشتملاً على أفراد مدخوله، بل قد يكون معناه هو مفهوم </w:t>
      </w:r>
      <w:r>
        <w:rPr>
          <w:rFonts w:cs="Abz-2 (Badr)" w:hint="cs"/>
          <w:spacing w:val="-2"/>
          <w:sz w:val="28"/>
          <w:szCs w:val="28"/>
          <w:rtl/>
          <w:lang w:bidi="fa-IR"/>
        </w:rPr>
        <w:t>«</w:t>
      </w:r>
      <w:r>
        <w:rPr>
          <w:rFonts w:cs="Abz-2 (Badr)" w:hint="cs"/>
          <w:spacing w:val="-2"/>
          <w:sz w:val="28"/>
          <w:szCs w:val="28"/>
          <w:rtl/>
        </w:rPr>
        <w:t>آحاد أفراد مفهوم آخر</w:t>
      </w:r>
      <w:r>
        <w:rPr>
          <w:rFonts w:cs="Abz-2 (Badr)" w:hint="cs"/>
          <w:spacing w:val="-2"/>
          <w:sz w:val="28"/>
          <w:szCs w:val="28"/>
          <w:rtl/>
          <w:lang w:bidi="fa-IR"/>
        </w:rPr>
        <w:t>»</w:t>
      </w:r>
      <w:r>
        <w:rPr>
          <w:rFonts w:cs="Abz-2 (Badr)" w:hint="cs"/>
          <w:spacing w:val="-2"/>
          <w:sz w:val="28"/>
          <w:szCs w:val="28"/>
          <w:rtl/>
        </w:rPr>
        <w:t xml:space="preserve"> بحيث ينشئ في تركيبه مع المدخول نسبة يستفاد منها عموم المدخول وشموله لجميع أفراده.</w:t>
      </w:r>
    </w:p>
    <w:p w14:paraId="584ACBC0" w14:textId="77777777" w:rsidR="00972897" w:rsidRDefault="00972897" w:rsidP="00972897">
      <w:pPr>
        <w:widowControl w:val="0"/>
        <w:bidi/>
        <w:spacing w:after="0"/>
        <w:ind w:firstLine="284"/>
        <w:jc w:val="both"/>
        <w:rPr>
          <w:rFonts w:cs="Abz-2 (Badr)"/>
          <w:spacing w:val="-2"/>
          <w:sz w:val="28"/>
          <w:szCs w:val="28"/>
        </w:rPr>
      </w:pPr>
      <w:r>
        <w:rPr>
          <w:rFonts w:cs="Abz-2 (Badr)" w:hint="cs"/>
          <w:spacing w:val="-2"/>
          <w:sz w:val="28"/>
          <w:szCs w:val="28"/>
          <w:rtl/>
        </w:rPr>
        <w:t xml:space="preserve">وبعبارة أُخرى: إنّ لفظ </w:t>
      </w:r>
      <w:r>
        <w:rPr>
          <w:rFonts w:cs="Abz-2 (Badr)" w:hint="cs"/>
          <w:spacing w:val="-2"/>
          <w:sz w:val="28"/>
          <w:szCs w:val="28"/>
          <w:rtl/>
          <w:lang w:bidi="fa-IR"/>
        </w:rPr>
        <w:t>«</w:t>
      </w:r>
      <w:r>
        <w:rPr>
          <w:rFonts w:cs="Abz-2 (Badr)" w:hint="cs"/>
          <w:spacing w:val="-2"/>
          <w:sz w:val="28"/>
          <w:szCs w:val="28"/>
          <w:rtl/>
        </w:rPr>
        <w:t xml:space="preserve">كلّ» يجعل مدخوله طرفاً لنسبة يلحظ بسببها جميع أفراده، ومن هذه الجهة لا فرق بين أن يكون المفهوم مدخولاً للفظ </w:t>
      </w:r>
      <w:r>
        <w:rPr>
          <w:rFonts w:cs="Abz-2 (Badr)" w:hint="cs"/>
          <w:spacing w:val="-2"/>
          <w:sz w:val="28"/>
          <w:szCs w:val="28"/>
          <w:rtl/>
          <w:lang w:bidi="fa-IR"/>
        </w:rPr>
        <w:t>«</w:t>
      </w:r>
      <w:r>
        <w:rPr>
          <w:rFonts w:cs="Abz-2 (Badr)" w:hint="cs"/>
          <w:spacing w:val="-2"/>
          <w:sz w:val="28"/>
          <w:szCs w:val="28"/>
          <w:rtl/>
        </w:rPr>
        <w:t>كلّ» أو أن تعرض على اللفظ هيئة تفيد تلك النسبة نفسها.</w:t>
      </w:r>
    </w:p>
    <w:p w14:paraId="4877772A" w14:textId="77777777" w:rsidR="00972897" w:rsidRDefault="00972897" w:rsidP="00972897">
      <w:pPr>
        <w:widowControl w:val="0"/>
        <w:bidi/>
        <w:spacing w:after="0"/>
        <w:ind w:firstLine="284"/>
        <w:jc w:val="both"/>
        <w:rPr>
          <w:rFonts w:cs="Abz-2 (Badr)" w:hint="cs"/>
          <w:spacing w:val="-2"/>
          <w:sz w:val="28"/>
          <w:szCs w:val="28"/>
          <w:rtl/>
        </w:rPr>
      </w:pPr>
      <w:r>
        <w:rPr>
          <w:rFonts w:cs="Abz-2 (Badr)" w:hint="cs"/>
          <w:spacing w:val="-2"/>
          <w:sz w:val="28"/>
          <w:szCs w:val="28"/>
          <w:rtl/>
        </w:rPr>
        <w:t>والجدير بالذكر أنّ الشهيد الصدر نسب مدّعاه هذا إلى المحقّق العراقي، غير أنّ الرجوع إلى كلمات المحقّق العراقي يكشف عن عدم صحّة هذه النسبة، فإنّه بعد أن عرّف العموم بأنّه بمعنى الإحاطة والشمول بالنسبة إلى الأفراد على نحو عرضي أو بدلي وبيّن أنّ مراده ليس مفهوم الإحاطة، بل واقع الإحاطة ومصداقها الذي هو منشأ انتزاع هذا المفهوم، وأنّ ذلك في الحقيقة معنىً حرفي، قال: إنّ الإشكال المطروح هنا هو أنّ لازم هذا القول عدم جريان أحكام الاسم على الألفاظ الموضوعة للعموم كـ «كلّ» و«جميع» و«مجموع» ونظائرها، مع أنّ المقطوع به خلاف ذلك.</w:t>
      </w:r>
      <w:r>
        <w:rPr>
          <w:rStyle w:val="FootnoteReference"/>
          <w:rFonts w:cs="Abz-2 (Badr)"/>
          <w:spacing w:val="-2"/>
          <w:sz w:val="28"/>
          <w:szCs w:val="28"/>
          <w:rtl/>
        </w:rPr>
        <w:footnoteReference w:id="3"/>
      </w:r>
    </w:p>
    <w:p w14:paraId="2A236E1C" w14:textId="77777777" w:rsidR="00972897" w:rsidRDefault="00972897" w:rsidP="00972897">
      <w:pPr>
        <w:widowControl w:val="0"/>
        <w:bidi/>
        <w:spacing w:after="0"/>
        <w:ind w:firstLine="284"/>
        <w:jc w:val="both"/>
        <w:rPr>
          <w:rFonts w:cs="2  Mitra" w:hint="cs"/>
          <w:sz w:val="28"/>
          <w:szCs w:val="28"/>
          <w:rtl/>
        </w:rPr>
      </w:pPr>
      <w:r>
        <w:rPr>
          <w:rFonts w:cs="Abz-2 (Badr)" w:hint="cs"/>
          <w:spacing w:val="-2"/>
          <w:sz w:val="28"/>
          <w:szCs w:val="28"/>
          <w:rtl/>
        </w:rPr>
        <w:t>ثمّ تعرّض لدفع هذا الإشكال، وسنعرض ما ذكره في هذا الخصوص في الجلسة القادمة إن شاء الله تعالى.</w:t>
      </w:r>
    </w:p>
    <w:p w14:paraId="2C43F892" w14:textId="77777777" w:rsidR="00972897" w:rsidRDefault="00972897" w:rsidP="00972897">
      <w:pPr>
        <w:widowControl w:val="0"/>
        <w:bidi/>
        <w:spacing w:after="0"/>
        <w:ind w:firstLine="284"/>
        <w:jc w:val="both"/>
        <w:rPr>
          <w:rFonts w:cs="Abz-2 (Badr)" w:hint="cs"/>
          <w:spacing w:val="-2"/>
          <w:sz w:val="28"/>
          <w:szCs w:val="28"/>
          <w:rtl/>
        </w:rPr>
      </w:pPr>
    </w:p>
    <w:p w14:paraId="46A3CF0F" w14:textId="77777777" w:rsidR="00972897" w:rsidRDefault="00972897" w:rsidP="00972897">
      <w:pPr>
        <w:widowControl w:val="0"/>
        <w:bidi/>
        <w:spacing w:after="0"/>
        <w:ind w:firstLine="284"/>
        <w:jc w:val="both"/>
        <w:rPr>
          <w:rFonts w:cs="Abz-2 (Badr)"/>
          <w:spacing w:val="-2"/>
          <w:sz w:val="28"/>
          <w:szCs w:val="28"/>
          <w:lang w:bidi="fa-IR"/>
        </w:rPr>
      </w:pPr>
    </w:p>
    <w:p w14:paraId="154B3A02" w14:textId="77777777" w:rsidR="00972897" w:rsidRDefault="00972897" w:rsidP="00972897">
      <w:pPr>
        <w:widowControl w:val="0"/>
        <w:bidi/>
        <w:spacing w:after="0"/>
        <w:ind w:firstLine="284"/>
        <w:jc w:val="both"/>
        <w:rPr>
          <w:rFonts w:cs="Abz-2 (Badr)"/>
          <w:spacing w:val="-2"/>
          <w:sz w:val="28"/>
          <w:szCs w:val="28"/>
          <w:lang w:bidi="fa-IR"/>
        </w:rPr>
      </w:pPr>
    </w:p>
    <w:p w14:paraId="01FD241D" w14:textId="77777777" w:rsidR="00972897" w:rsidRDefault="00972897" w:rsidP="00972897">
      <w:pPr>
        <w:widowControl w:val="0"/>
        <w:bidi/>
        <w:spacing w:after="0"/>
        <w:ind w:firstLine="284"/>
        <w:jc w:val="both"/>
        <w:rPr>
          <w:rFonts w:cs="Abz-2 (Badr)"/>
          <w:spacing w:val="-2"/>
          <w:sz w:val="28"/>
          <w:szCs w:val="28"/>
          <w:lang w:bidi="fa-IR"/>
        </w:rPr>
      </w:pPr>
    </w:p>
    <w:p w14:paraId="7D9979DE" w14:textId="26D41A3F" w:rsidR="001B24FC" w:rsidRPr="00972897" w:rsidRDefault="001B24FC" w:rsidP="00972897">
      <w:pPr>
        <w:rPr>
          <w:rtl/>
        </w:rPr>
      </w:pPr>
    </w:p>
    <w:sectPr w:rsidR="001B24FC" w:rsidRPr="00972897" w:rsidSect="008666ED">
      <w:headerReference w:type="default" r:id="rId7"/>
      <w:footerReference w:type="default" r:id="rId8"/>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4B9F7" w14:textId="77777777" w:rsidR="00126732" w:rsidRDefault="00126732" w:rsidP="00C336C5">
      <w:pPr>
        <w:spacing w:after="0" w:line="240" w:lineRule="auto"/>
      </w:pPr>
      <w:r>
        <w:separator/>
      </w:r>
    </w:p>
  </w:endnote>
  <w:endnote w:type="continuationSeparator" w:id="0">
    <w:p w14:paraId="153023F5" w14:textId="77777777" w:rsidR="00126732" w:rsidRDefault="00126732" w:rsidP="00C336C5">
      <w:pPr>
        <w:spacing w:after="0" w:line="240" w:lineRule="auto"/>
      </w:pPr>
      <w:r>
        <w:continuationSeparator/>
      </w:r>
    </w:p>
  </w:endnote>
  <w:endnote w:type="continuationNotice" w:id="1">
    <w:p w14:paraId="1E933947" w14:textId="77777777" w:rsidR="00126732" w:rsidRDefault="001267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63C77" w14:textId="77777777" w:rsidR="00126732" w:rsidRDefault="00126732" w:rsidP="00C336C5">
      <w:pPr>
        <w:bidi/>
        <w:spacing w:after="0" w:line="240" w:lineRule="auto"/>
      </w:pPr>
      <w:r>
        <w:separator/>
      </w:r>
    </w:p>
  </w:footnote>
  <w:footnote w:type="continuationSeparator" w:id="0">
    <w:p w14:paraId="35EFFD4D" w14:textId="77777777" w:rsidR="00126732" w:rsidRDefault="00126732" w:rsidP="00C336C5">
      <w:pPr>
        <w:spacing w:after="0" w:line="240" w:lineRule="auto"/>
      </w:pPr>
      <w:r>
        <w:continuationSeparator/>
      </w:r>
    </w:p>
  </w:footnote>
  <w:footnote w:type="continuationNotice" w:id="1">
    <w:p w14:paraId="584D4322" w14:textId="77777777" w:rsidR="00126732" w:rsidRDefault="00126732">
      <w:pPr>
        <w:spacing w:after="0" w:line="240" w:lineRule="auto"/>
      </w:pPr>
    </w:p>
  </w:footnote>
  <w:footnote w:id="2">
    <w:p w14:paraId="675F27A7" w14:textId="77777777" w:rsidR="00972897" w:rsidRDefault="00972897" w:rsidP="00972897">
      <w:pPr>
        <w:pStyle w:val="FootnoteText"/>
        <w:bidi/>
        <w:jc w:val="left"/>
        <w:rPr>
          <w:rFonts w:cs="Abz-2 (Badr)" w:hint="cs"/>
          <w:rtl/>
          <w:lang w:bidi="fa-IR"/>
        </w:rPr>
      </w:pPr>
      <w:r>
        <w:rPr>
          <w:rFonts w:cs="Abz-2 (Badr)"/>
          <w:lang w:bidi="fa-IR"/>
        </w:rPr>
        <w:footnoteRef/>
      </w:r>
      <w:r>
        <w:rPr>
          <w:rFonts w:cs="Abz-2 (Badr)" w:hint="cs"/>
          <w:rtl/>
          <w:lang w:bidi="fa-IR"/>
        </w:rPr>
        <w:t xml:space="preserve"> ـ راجع: نهاية الأفکار،ج2،ص504.</w:t>
      </w:r>
    </w:p>
  </w:footnote>
  <w:footnote w:id="3">
    <w:p w14:paraId="48811793" w14:textId="77777777" w:rsidR="00972897" w:rsidRDefault="00972897" w:rsidP="00972897">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 xml:space="preserve">ـ </w:t>
      </w:r>
      <w:r>
        <w:rPr>
          <w:rFonts w:cs="Abz-2 (Badr)" w:hint="cs"/>
          <w:rtl/>
          <w:lang w:bidi="fa-IR"/>
        </w:rPr>
        <w:t>راجع: نهاية الأفکار،ج2،ص504.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255A0E86" w:rsidR="008666ED" w:rsidRDefault="008666ED" w:rsidP="008666ED">
                          <w:pPr>
                            <w:bidi/>
                          </w:pPr>
                          <w:r>
                            <w:rPr>
                              <w:rFonts w:cs="B Mehr" w:hint="cs"/>
                              <w:rtl/>
                            </w:rPr>
                            <w:t xml:space="preserve">تاریخ :  </w:t>
                          </w:r>
                          <w:r w:rsidR="00972897">
                            <w:rPr>
                              <w:rFonts w:cs="B Mehr" w:hint="cs"/>
                              <w:rtl/>
                            </w:rPr>
                            <w:t>یک</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972897">
                            <w:rPr>
                              <w:rFonts w:cs="B Mehr" w:hint="cs"/>
                              <w:rtl/>
                              <w:lang w:bidi="fa-IR"/>
                            </w:rPr>
                            <w:t>13</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255A0E86" w:rsidR="008666ED" w:rsidRDefault="008666ED" w:rsidP="008666ED">
                    <w:pPr>
                      <w:bidi/>
                    </w:pPr>
                    <w:r>
                      <w:rPr>
                        <w:rFonts w:cs="B Mehr" w:hint="cs"/>
                        <w:rtl/>
                      </w:rPr>
                      <w:t xml:space="preserve">تاریخ :  </w:t>
                    </w:r>
                    <w:r w:rsidR="00972897">
                      <w:rPr>
                        <w:rFonts w:cs="B Mehr" w:hint="cs"/>
                        <w:rtl/>
                      </w:rPr>
                      <w:t>یک</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972897">
                      <w:rPr>
                        <w:rFonts w:cs="B Mehr" w:hint="cs"/>
                        <w:rtl/>
                        <w:lang w:bidi="fa-IR"/>
                      </w:rPr>
                      <w:t>13</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26732"/>
    <w:rsid w:val="0013020B"/>
    <w:rsid w:val="0013025B"/>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66CD"/>
    <w:rsid w:val="002D688D"/>
    <w:rsid w:val="002E0167"/>
    <w:rsid w:val="002E0803"/>
    <w:rsid w:val="002E11CF"/>
    <w:rsid w:val="002E228B"/>
    <w:rsid w:val="002E514A"/>
    <w:rsid w:val="002E5DFD"/>
    <w:rsid w:val="002E6148"/>
    <w:rsid w:val="002E6DCF"/>
    <w:rsid w:val="002E7556"/>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4100</TotalTime>
  <Pages>1</Pages>
  <Words>622</Words>
  <Characters>3548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1198</cp:revision>
  <cp:lastPrinted>2025-04-15T09:36:00Z</cp:lastPrinted>
  <dcterms:created xsi:type="dcterms:W3CDTF">2022-10-16T08:36:00Z</dcterms:created>
  <dcterms:modified xsi:type="dcterms:W3CDTF">2025-10-05T08:29:00Z</dcterms:modified>
</cp:coreProperties>
</file>