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7BEFD" w14:textId="77777777" w:rsidR="007973E5" w:rsidRPr="00C27AEE" w:rsidRDefault="007973E5" w:rsidP="007973E5">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w:t>
      </w:r>
      <w:r>
        <w:rPr>
          <w:rFonts w:cs="QuranTaha"/>
          <w:sz w:val="28"/>
          <w:szCs w:val="28"/>
          <w:rtl/>
          <w:lang w:bidi="fa-IR"/>
        </w:rPr>
        <w:t xml:space="preserve"> </w:t>
      </w:r>
      <w:r w:rsidRPr="00C27AEE">
        <w:rPr>
          <w:rFonts w:cs="QuranTaha"/>
          <w:sz w:val="28"/>
          <w:szCs w:val="28"/>
          <w:rtl/>
          <w:lang w:bidi="fa-IR"/>
        </w:rPr>
        <w:t>اللَّهِ</w:t>
      </w:r>
      <w:r>
        <w:rPr>
          <w:rFonts w:cs="QuranTaha"/>
          <w:sz w:val="28"/>
          <w:szCs w:val="28"/>
          <w:rtl/>
          <w:lang w:bidi="fa-IR"/>
        </w:rPr>
        <w:t xml:space="preserve"> </w:t>
      </w:r>
      <w:r w:rsidRPr="00C27AEE">
        <w:rPr>
          <w:rFonts w:cs="QuranTaha"/>
          <w:sz w:val="28"/>
          <w:szCs w:val="28"/>
          <w:rtl/>
          <w:lang w:bidi="fa-IR"/>
        </w:rPr>
        <w:t>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A56AE40" w14:textId="77777777" w:rsidR="007973E5" w:rsidRDefault="007973E5" w:rsidP="007973E5">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1A67ABE3" w14:textId="77777777" w:rsidR="007973E5" w:rsidRDefault="007973E5" w:rsidP="007973E5">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942</w:t>
      </w:r>
    </w:p>
    <w:bookmarkEnd w:id="0"/>
    <w:p w14:paraId="1639E6C1" w14:textId="77777777" w:rsidR="007973E5" w:rsidRDefault="007973E5" w:rsidP="007973E5">
      <w:pPr>
        <w:widowControl w:val="0"/>
        <w:bidi/>
        <w:spacing w:before="240" w:line="259" w:lineRule="auto"/>
        <w:ind w:firstLine="289"/>
        <w:jc w:val="both"/>
        <w:rPr>
          <w:rFonts w:cs="2  Mitra"/>
          <w:spacing w:val="-2"/>
          <w:sz w:val="28"/>
          <w:szCs w:val="28"/>
          <w:rtl/>
        </w:rPr>
      </w:pPr>
      <w:r w:rsidRPr="00035555">
        <w:rPr>
          <w:rFonts w:cs="2  Mitra"/>
          <w:spacing w:val="-2"/>
          <w:sz w:val="28"/>
          <w:szCs w:val="28"/>
          <w:rtl/>
        </w:rPr>
        <w:t>مرحوم آخوند ادعا کرده‌اند که حکمی که بر مستثنى مترتب می‌شود، مستفاد از مفهوم استثناء است، نه از منطوق آن و در استدلال بر این ادعا می‌فرمایند: حکم مستثنى، لازم خصوصیتی است که در حکمِ جانب مستثنى‌منه وجود دارد و جمله‌ی استثناء بر آن دلالت می‌کند</w:t>
      </w:r>
      <w:r>
        <w:rPr>
          <w:rFonts w:cs="2  Mitra" w:hint="cs"/>
          <w:spacing w:val="-2"/>
          <w:sz w:val="28"/>
          <w:szCs w:val="28"/>
          <w:rtl/>
        </w:rPr>
        <w:t>.</w:t>
      </w:r>
    </w:p>
    <w:p w14:paraId="465631EF" w14:textId="77777777" w:rsidR="007973E5" w:rsidRDefault="007973E5" w:rsidP="007973E5">
      <w:pPr>
        <w:widowControl w:val="0"/>
        <w:bidi/>
        <w:spacing w:before="240" w:line="259" w:lineRule="auto"/>
        <w:ind w:firstLine="289"/>
        <w:jc w:val="both"/>
        <w:rPr>
          <w:rFonts w:cs="2  Mitra"/>
          <w:spacing w:val="-2"/>
          <w:sz w:val="28"/>
          <w:szCs w:val="28"/>
          <w:rtl/>
        </w:rPr>
      </w:pPr>
      <w:r w:rsidRPr="00035555">
        <w:rPr>
          <w:rFonts w:cs="2  Mitra"/>
          <w:spacing w:val="-2"/>
          <w:sz w:val="28"/>
          <w:szCs w:val="28"/>
          <w:rtl/>
        </w:rPr>
        <w:t xml:space="preserve">سپس می‌افزایند: اگر حکم مستثنى، مستفاد از خودِ استثناء باشد نه از خصوصیتی که در حکم مستثنى‌منه وجود دارد، می‌توان ادعا کرد که دلالت </w:t>
      </w:r>
      <w:r>
        <w:rPr>
          <w:rFonts w:cs="2  Mitra" w:hint="cs"/>
          <w:spacing w:val="-2"/>
          <w:sz w:val="28"/>
          <w:szCs w:val="28"/>
          <w:rtl/>
        </w:rPr>
        <w:t xml:space="preserve">بر </w:t>
      </w:r>
      <w:r w:rsidRPr="00035555">
        <w:rPr>
          <w:rFonts w:cs="2  Mitra"/>
          <w:spacing w:val="-2"/>
          <w:sz w:val="28"/>
          <w:szCs w:val="28"/>
          <w:rtl/>
        </w:rPr>
        <w:t>آن به منطوق است نه به مفهوم</w:t>
      </w:r>
      <w:r w:rsidRPr="00035555">
        <w:rPr>
          <w:rFonts w:cs="2  Mitra" w:hint="cs"/>
          <w:spacing w:val="-2"/>
          <w:sz w:val="28"/>
          <w:szCs w:val="28"/>
          <w:rtl/>
        </w:rPr>
        <w:t>.</w:t>
      </w:r>
      <w:r w:rsidRPr="00CF2BB6">
        <w:rPr>
          <w:rStyle w:val="FootnoteReference"/>
          <w:rFonts w:cs="2  Mitra"/>
          <w:spacing w:val="-2"/>
          <w:sz w:val="28"/>
          <w:szCs w:val="28"/>
          <w:rtl/>
        </w:rPr>
        <w:footnoteReference w:id="2"/>
      </w:r>
    </w:p>
    <w:p w14:paraId="73C68406" w14:textId="77777777" w:rsidR="007973E5" w:rsidRDefault="007973E5" w:rsidP="007973E5">
      <w:pPr>
        <w:widowControl w:val="0"/>
        <w:bidi/>
        <w:spacing w:before="240" w:line="259" w:lineRule="auto"/>
        <w:ind w:firstLine="289"/>
        <w:jc w:val="both"/>
        <w:rPr>
          <w:rFonts w:cs="2  Mitra"/>
          <w:sz w:val="28"/>
          <w:szCs w:val="28"/>
          <w:rtl/>
          <w:lang w:bidi="fa-IR"/>
        </w:rPr>
      </w:pPr>
      <w:r>
        <w:rPr>
          <w:rFonts w:cs="2  Mitra" w:hint="cs"/>
          <w:sz w:val="28"/>
          <w:szCs w:val="28"/>
          <w:rtl/>
          <w:lang w:bidi="fa-IR"/>
        </w:rPr>
        <w:t>مرحوم محقق عراقی نيز در استدلال بر اين که حکم مستثنی مستفاد از مفهوم است نه منطوق می</w:t>
      </w:r>
      <w:r>
        <w:rPr>
          <w:rFonts w:cs="2  Mitra"/>
          <w:sz w:val="28"/>
          <w:szCs w:val="28"/>
          <w:rtl/>
          <w:lang w:bidi="fa-IR"/>
        </w:rPr>
        <w:softHyphen/>
      </w:r>
      <w:r>
        <w:rPr>
          <w:rFonts w:cs="2  Mitra" w:hint="cs"/>
          <w:sz w:val="28"/>
          <w:szCs w:val="28"/>
          <w:rtl/>
          <w:lang w:bidi="fa-IR"/>
        </w:rPr>
        <w:t>فرماید: حکم مستثنی از لوازم انحصار سنخ حکم به مستثنی منه می</w:t>
      </w:r>
      <w:r>
        <w:rPr>
          <w:rFonts w:cs="2  Mitra"/>
          <w:sz w:val="28"/>
          <w:szCs w:val="28"/>
          <w:rtl/>
          <w:lang w:bidi="fa-IR"/>
        </w:rPr>
        <w:softHyphen/>
      </w:r>
      <w:r>
        <w:rPr>
          <w:rFonts w:cs="2  Mitra" w:hint="cs"/>
          <w:sz w:val="28"/>
          <w:szCs w:val="28"/>
          <w:rtl/>
          <w:lang w:bidi="fa-IR"/>
        </w:rPr>
        <w:t>باشد.</w:t>
      </w:r>
      <w:r w:rsidRPr="00CF2BB6">
        <w:rPr>
          <w:rStyle w:val="FootnoteReference"/>
          <w:rFonts w:cs="2  Mitra"/>
          <w:spacing w:val="-2"/>
          <w:sz w:val="28"/>
          <w:szCs w:val="28"/>
          <w:rtl/>
        </w:rPr>
        <w:footnoteReference w:id="3"/>
      </w:r>
    </w:p>
    <w:p w14:paraId="21C3D118" w14:textId="77777777" w:rsidR="007973E5" w:rsidRDefault="007973E5" w:rsidP="007973E5">
      <w:pPr>
        <w:widowControl w:val="0"/>
        <w:bidi/>
        <w:spacing w:before="240" w:line="259" w:lineRule="auto"/>
        <w:ind w:firstLine="289"/>
        <w:jc w:val="both"/>
        <w:rPr>
          <w:rFonts w:cs="2  Mitra"/>
          <w:spacing w:val="-2"/>
          <w:sz w:val="28"/>
          <w:szCs w:val="28"/>
          <w:rtl/>
          <w:lang w:bidi="fa-IR"/>
        </w:rPr>
      </w:pPr>
      <w:r w:rsidRPr="005E32AE">
        <w:rPr>
          <w:rFonts w:cs="2  Mitra"/>
          <w:spacing w:val="-2"/>
          <w:sz w:val="28"/>
          <w:szCs w:val="28"/>
          <w:rtl/>
        </w:rPr>
        <w:t>امّا بر این مدّعا چند اشکال وارد است</w:t>
      </w:r>
      <w:r>
        <w:rPr>
          <w:rFonts w:cs="2  Mitra" w:hint="cs"/>
          <w:spacing w:val="-2"/>
          <w:sz w:val="28"/>
          <w:szCs w:val="28"/>
          <w:rtl/>
          <w:lang w:bidi="fa-IR"/>
        </w:rPr>
        <w:t>:</w:t>
      </w:r>
    </w:p>
    <w:p w14:paraId="70394362" w14:textId="77777777" w:rsidR="007973E5" w:rsidRDefault="007973E5" w:rsidP="007973E5">
      <w:pPr>
        <w:widowControl w:val="0"/>
        <w:bidi/>
        <w:spacing w:before="240" w:line="259" w:lineRule="auto"/>
        <w:ind w:firstLine="289"/>
        <w:jc w:val="both"/>
        <w:rPr>
          <w:rFonts w:cs="2  Mitra"/>
          <w:spacing w:val="-2"/>
          <w:sz w:val="28"/>
          <w:szCs w:val="28"/>
          <w:rtl/>
          <w:lang w:bidi="fa-IR"/>
        </w:rPr>
      </w:pPr>
      <w:r w:rsidRPr="005E32AE">
        <w:rPr>
          <w:rFonts w:cs="2  Mitra"/>
          <w:spacing w:val="-2"/>
          <w:sz w:val="28"/>
          <w:szCs w:val="28"/>
          <w:rtl/>
        </w:rPr>
        <w:t>اولاً</w:t>
      </w:r>
      <w:r>
        <w:rPr>
          <w:rFonts w:cs="2  Mitra" w:hint="cs"/>
          <w:spacing w:val="-2"/>
          <w:sz w:val="28"/>
          <w:szCs w:val="28"/>
          <w:rtl/>
        </w:rPr>
        <w:t xml:space="preserve">: </w:t>
      </w:r>
      <w:r w:rsidRPr="005E32AE">
        <w:rPr>
          <w:rFonts w:cs="2  Mitra"/>
          <w:spacing w:val="-2"/>
          <w:sz w:val="28"/>
          <w:szCs w:val="28"/>
          <w:rtl/>
        </w:rPr>
        <w:t xml:space="preserve">همان‌گونه که در مباحث مقدماتی گذشت، برای آن‌که قیدی از قیود موضوع، افاده‌ی مفهوم نماید، لازم است که دارای علیّت </w:t>
      </w:r>
      <w:r>
        <w:rPr>
          <w:rFonts w:cs="2  Mitra" w:hint="cs"/>
          <w:spacing w:val="-2"/>
          <w:sz w:val="28"/>
          <w:szCs w:val="28"/>
          <w:rtl/>
        </w:rPr>
        <w:t>منحصره</w:t>
      </w:r>
      <w:r w:rsidRPr="005E32AE">
        <w:rPr>
          <w:rFonts w:cs="2  Mitra"/>
          <w:spacing w:val="-2"/>
          <w:sz w:val="28"/>
          <w:szCs w:val="28"/>
          <w:rtl/>
        </w:rPr>
        <w:t xml:space="preserve"> برای ترتب حکم بر ذات موضوع باشد، و این شرط در ما نحن فیه مفقود است</w:t>
      </w:r>
      <w:r>
        <w:rPr>
          <w:rFonts w:cs="2  Mitra" w:hint="cs"/>
          <w:spacing w:val="-2"/>
          <w:sz w:val="28"/>
          <w:szCs w:val="28"/>
          <w:rtl/>
          <w:lang w:bidi="fa-IR"/>
        </w:rPr>
        <w:t>.</w:t>
      </w:r>
    </w:p>
    <w:p w14:paraId="5FDAF33F" w14:textId="77777777" w:rsidR="007973E5" w:rsidRDefault="007973E5" w:rsidP="007973E5">
      <w:pPr>
        <w:widowControl w:val="0"/>
        <w:bidi/>
        <w:spacing w:before="240" w:line="259" w:lineRule="auto"/>
        <w:ind w:firstLine="289"/>
        <w:jc w:val="both"/>
        <w:rPr>
          <w:rFonts w:cs="2  Mitra"/>
          <w:spacing w:val="-2"/>
          <w:sz w:val="28"/>
          <w:szCs w:val="28"/>
          <w:rtl/>
          <w:lang w:bidi="fa-IR"/>
        </w:rPr>
      </w:pPr>
      <w:r w:rsidRPr="005E32AE">
        <w:rPr>
          <w:rFonts w:cs="2  Mitra"/>
          <w:spacing w:val="-2"/>
          <w:sz w:val="28"/>
          <w:szCs w:val="28"/>
          <w:rtl/>
        </w:rPr>
        <w:t>ثانیاً</w:t>
      </w:r>
      <w:r>
        <w:rPr>
          <w:rFonts w:cs="2  Mitra" w:hint="cs"/>
          <w:spacing w:val="-2"/>
          <w:sz w:val="28"/>
          <w:szCs w:val="28"/>
          <w:rtl/>
        </w:rPr>
        <w:t xml:space="preserve">: </w:t>
      </w:r>
      <w:r w:rsidRPr="005E32AE">
        <w:rPr>
          <w:rFonts w:cs="2  Mitra"/>
          <w:spacing w:val="-2"/>
          <w:sz w:val="28"/>
          <w:szCs w:val="28"/>
          <w:rtl/>
        </w:rPr>
        <w:t>در افاده‌ی مفهوم توسط یک قضیه، لازم است که ذات موضوع باقی بماند و تنها قیود آن تغییر کند؛ حال آن‌که ذات موضوع در مستثنى با ذات موضوع در مستثنى‌منه متفاوت است</w:t>
      </w:r>
      <w:r>
        <w:rPr>
          <w:rFonts w:cs="2  Mitra" w:hint="cs"/>
          <w:spacing w:val="-2"/>
          <w:sz w:val="28"/>
          <w:szCs w:val="28"/>
          <w:rtl/>
        </w:rPr>
        <w:t>؛</w:t>
      </w:r>
      <w:r w:rsidRPr="005E32AE">
        <w:rPr>
          <w:rFonts w:cs="2  Mitra"/>
          <w:spacing w:val="-2"/>
          <w:sz w:val="28"/>
          <w:szCs w:val="28"/>
          <w:rtl/>
        </w:rPr>
        <w:t xml:space="preserve"> مثلاً در جمله‌ی «</w:t>
      </w:r>
      <w:r w:rsidRPr="005E32AE">
        <w:rPr>
          <w:rFonts w:cs="Abz-2 (Badr)"/>
          <w:spacing w:val="-2"/>
          <w:sz w:val="28"/>
          <w:szCs w:val="28"/>
          <w:rtl/>
        </w:rPr>
        <w:t>جاء القوم إل</w:t>
      </w:r>
      <w:r>
        <w:rPr>
          <w:rFonts w:cs="Abz-2 (Badr)" w:hint="cs"/>
          <w:spacing w:val="-2"/>
          <w:sz w:val="28"/>
          <w:szCs w:val="28"/>
          <w:rtl/>
        </w:rPr>
        <w:t>ّ</w:t>
      </w:r>
      <w:r w:rsidRPr="005E32AE">
        <w:rPr>
          <w:rFonts w:cs="Abz-2 (Badr)"/>
          <w:spacing w:val="-2"/>
          <w:sz w:val="28"/>
          <w:szCs w:val="28"/>
          <w:rtl/>
        </w:rPr>
        <w:t>ا ز</w:t>
      </w:r>
      <w:r>
        <w:rPr>
          <w:rFonts w:cs="Abz-2 (Badr)" w:hint="cs"/>
          <w:spacing w:val="-2"/>
          <w:sz w:val="28"/>
          <w:szCs w:val="28"/>
          <w:rtl/>
        </w:rPr>
        <w:t>ي</w:t>
      </w:r>
      <w:r w:rsidRPr="005E32AE">
        <w:rPr>
          <w:rFonts w:cs="Abz-2 (Badr)"/>
          <w:spacing w:val="-2"/>
          <w:sz w:val="28"/>
          <w:szCs w:val="28"/>
          <w:rtl/>
        </w:rPr>
        <w:t>د</w:t>
      </w:r>
      <w:r>
        <w:rPr>
          <w:rFonts w:cs="Abz-2 (Badr)" w:hint="cs"/>
          <w:spacing w:val="-2"/>
          <w:sz w:val="28"/>
          <w:szCs w:val="28"/>
          <w:rtl/>
        </w:rPr>
        <w:t>اً</w:t>
      </w:r>
      <w:r w:rsidRPr="005E32AE">
        <w:rPr>
          <w:rFonts w:cs="2  Mitra"/>
          <w:spacing w:val="-2"/>
          <w:sz w:val="28"/>
          <w:szCs w:val="28"/>
          <w:rtl/>
        </w:rPr>
        <w:t>»، ذات موضوع در جمله‌ی مستثنى‌منه «</w:t>
      </w:r>
      <w:r w:rsidRPr="005E32AE">
        <w:rPr>
          <w:rFonts w:cs="Abz-2 (Badr)"/>
          <w:spacing w:val="-2"/>
          <w:sz w:val="28"/>
          <w:szCs w:val="28"/>
          <w:rtl/>
        </w:rPr>
        <w:t>القوم</w:t>
      </w:r>
      <w:r w:rsidRPr="005E32AE">
        <w:rPr>
          <w:rFonts w:cs="2  Mitra"/>
          <w:spacing w:val="-2"/>
          <w:sz w:val="28"/>
          <w:szCs w:val="28"/>
          <w:rtl/>
        </w:rPr>
        <w:t>» است و در جمله‌ی مستثنى، «</w:t>
      </w:r>
      <w:r w:rsidRPr="005E32AE">
        <w:rPr>
          <w:rFonts w:cs="Abz-2 (Badr)"/>
          <w:spacing w:val="-2"/>
          <w:sz w:val="28"/>
          <w:szCs w:val="28"/>
          <w:rtl/>
        </w:rPr>
        <w:t>ز</w:t>
      </w:r>
      <w:r>
        <w:rPr>
          <w:rFonts w:cs="Abz-2 (Badr)" w:hint="cs"/>
          <w:spacing w:val="-2"/>
          <w:sz w:val="28"/>
          <w:szCs w:val="28"/>
          <w:rtl/>
        </w:rPr>
        <w:t>ي</w:t>
      </w:r>
      <w:r w:rsidRPr="005E32AE">
        <w:rPr>
          <w:rFonts w:cs="Abz-2 (Badr)"/>
          <w:spacing w:val="-2"/>
          <w:sz w:val="28"/>
          <w:szCs w:val="28"/>
          <w:rtl/>
        </w:rPr>
        <w:t>د</w:t>
      </w:r>
      <w:r w:rsidRPr="005E32AE">
        <w:rPr>
          <w:rFonts w:cs="2  Mitra"/>
          <w:spacing w:val="-2"/>
          <w:sz w:val="28"/>
          <w:szCs w:val="28"/>
          <w:rtl/>
        </w:rPr>
        <w:t>»</w:t>
      </w:r>
      <w:r>
        <w:rPr>
          <w:rFonts w:cs="2  Mitra" w:hint="cs"/>
          <w:spacing w:val="-2"/>
          <w:sz w:val="28"/>
          <w:szCs w:val="28"/>
          <w:rtl/>
        </w:rPr>
        <w:t>.</w:t>
      </w:r>
      <w:r w:rsidRPr="005E32AE">
        <w:rPr>
          <w:rFonts w:cs="2  Mitra"/>
          <w:spacing w:val="-2"/>
          <w:sz w:val="28"/>
          <w:szCs w:val="28"/>
          <w:rtl/>
        </w:rPr>
        <w:t xml:space="preserve"> بنابر</w:t>
      </w:r>
      <w:r>
        <w:rPr>
          <w:rFonts w:cs="2  Mitra" w:hint="cs"/>
          <w:spacing w:val="-2"/>
          <w:sz w:val="28"/>
          <w:szCs w:val="28"/>
          <w:rtl/>
        </w:rPr>
        <w:t xml:space="preserve"> </w:t>
      </w:r>
      <w:r w:rsidRPr="005E32AE">
        <w:rPr>
          <w:rFonts w:cs="2  Mitra"/>
          <w:spacing w:val="-2"/>
          <w:sz w:val="28"/>
          <w:szCs w:val="28"/>
          <w:rtl/>
        </w:rPr>
        <w:t>این نمی‌توان حکمی را که در خصوص «</w:t>
      </w:r>
      <w:r w:rsidRPr="005E32AE">
        <w:rPr>
          <w:rFonts w:cs="Abz-2 (Badr)"/>
          <w:spacing w:val="-2"/>
          <w:sz w:val="28"/>
          <w:szCs w:val="28"/>
          <w:rtl/>
        </w:rPr>
        <w:t>ز</w:t>
      </w:r>
      <w:r>
        <w:rPr>
          <w:rFonts w:cs="Abz-2 (Badr)" w:hint="cs"/>
          <w:spacing w:val="-2"/>
          <w:sz w:val="28"/>
          <w:szCs w:val="28"/>
          <w:rtl/>
        </w:rPr>
        <w:t>ي</w:t>
      </w:r>
      <w:r w:rsidRPr="005E32AE">
        <w:rPr>
          <w:rFonts w:cs="Abz-2 (Badr)"/>
          <w:spacing w:val="-2"/>
          <w:sz w:val="28"/>
          <w:szCs w:val="28"/>
          <w:rtl/>
        </w:rPr>
        <w:t>د</w:t>
      </w:r>
      <w:r w:rsidRPr="005E32AE">
        <w:rPr>
          <w:rFonts w:cs="2  Mitra"/>
          <w:spacing w:val="-2"/>
          <w:sz w:val="28"/>
          <w:szCs w:val="28"/>
          <w:rtl/>
        </w:rPr>
        <w:t>» از این جمله برداشت می‌شود، مفهوم حکمی دانست که در خصوص «</w:t>
      </w:r>
      <w:r w:rsidRPr="005E32AE">
        <w:rPr>
          <w:rFonts w:cs="Abz-2 (Badr)"/>
          <w:spacing w:val="-2"/>
          <w:sz w:val="28"/>
          <w:szCs w:val="28"/>
          <w:rtl/>
        </w:rPr>
        <w:t>قوم</w:t>
      </w:r>
      <w:r w:rsidRPr="005E32AE">
        <w:rPr>
          <w:rFonts w:cs="2  Mitra"/>
          <w:spacing w:val="-2"/>
          <w:sz w:val="28"/>
          <w:szCs w:val="28"/>
          <w:rtl/>
        </w:rPr>
        <w:t>» از آن استفاده شده است</w:t>
      </w:r>
      <w:r>
        <w:rPr>
          <w:rFonts w:cs="2  Mitra" w:hint="cs"/>
          <w:spacing w:val="-2"/>
          <w:sz w:val="28"/>
          <w:szCs w:val="28"/>
          <w:rtl/>
          <w:lang w:bidi="fa-IR"/>
        </w:rPr>
        <w:t>.</w:t>
      </w:r>
    </w:p>
    <w:p w14:paraId="6DB2A069" w14:textId="77777777" w:rsidR="007973E5" w:rsidRDefault="007973E5" w:rsidP="007973E5">
      <w:pPr>
        <w:widowControl w:val="0"/>
        <w:bidi/>
        <w:spacing w:before="240" w:line="259" w:lineRule="auto"/>
        <w:ind w:firstLine="289"/>
        <w:jc w:val="both"/>
        <w:rPr>
          <w:rFonts w:cs="2  Mitra"/>
          <w:sz w:val="28"/>
          <w:szCs w:val="28"/>
          <w:rtl/>
          <w:lang w:bidi="fa-IR"/>
        </w:rPr>
      </w:pPr>
      <w:r w:rsidRPr="005E32AE">
        <w:rPr>
          <w:rFonts w:cs="2  Mitra"/>
          <w:spacing w:val="-2"/>
          <w:sz w:val="28"/>
          <w:szCs w:val="28"/>
          <w:rtl/>
        </w:rPr>
        <w:lastRenderedPageBreak/>
        <w:t>مرحوم میرزای نائینی نیز مطلبی مشابه همین را در مورد افاده‌ی مفهوم توسط لفظ «إنّما» بیان کرده‌اند</w:t>
      </w:r>
      <w:r>
        <w:rPr>
          <w:rFonts w:cs="2  Mitra" w:hint="cs"/>
          <w:sz w:val="28"/>
          <w:szCs w:val="28"/>
          <w:rtl/>
          <w:lang w:bidi="fa-IR"/>
        </w:rPr>
        <w:t>.</w:t>
      </w:r>
      <w:r w:rsidRPr="00CF2BB6">
        <w:rPr>
          <w:rStyle w:val="FootnoteReference"/>
          <w:rFonts w:cs="2  Mitra"/>
          <w:spacing w:val="-2"/>
          <w:sz w:val="28"/>
          <w:szCs w:val="28"/>
          <w:rtl/>
        </w:rPr>
        <w:footnoteReference w:id="4"/>
      </w:r>
    </w:p>
    <w:p w14:paraId="78C0C4E4" w14:textId="77777777" w:rsidR="007973E5" w:rsidRDefault="007973E5" w:rsidP="007973E5">
      <w:pPr>
        <w:widowControl w:val="0"/>
        <w:bidi/>
        <w:spacing w:before="240" w:line="259" w:lineRule="auto"/>
        <w:ind w:firstLine="289"/>
        <w:jc w:val="both"/>
        <w:rPr>
          <w:rFonts w:cs="2  Mitra"/>
          <w:sz w:val="28"/>
          <w:szCs w:val="28"/>
          <w:rtl/>
        </w:rPr>
      </w:pPr>
      <w:r w:rsidRPr="00F31D98">
        <w:rPr>
          <w:rFonts w:cs="2  Mitra"/>
          <w:sz w:val="28"/>
          <w:szCs w:val="28"/>
          <w:rtl/>
        </w:rPr>
        <w:t>ثالثاً</w:t>
      </w:r>
      <w:r>
        <w:rPr>
          <w:rFonts w:cs="2  Mitra" w:hint="cs"/>
          <w:sz w:val="28"/>
          <w:szCs w:val="28"/>
          <w:rtl/>
          <w:lang w:bidi="fa-IR"/>
        </w:rPr>
        <w:t xml:space="preserve">: </w:t>
      </w:r>
      <w:r w:rsidRPr="00F31D98">
        <w:rPr>
          <w:rFonts w:cs="2  Mitra"/>
          <w:sz w:val="28"/>
          <w:szCs w:val="28"/>
          <w:rtl/>
        </w:rPr>
        <w:t>حکم مستثنى‌منه به خودی خود هیچ خصوصیتی ندارد که بر اساس آن بتوان حکم را از مستثنى نفی کرد؛ بلکه این ادات استثناء است که موجب می‌شود معنای اضافی از جمله‌ی مستثنى برداشت گردد</w:t>
      </w:r>
      <w:r>
        <w:rPr>
          <w:rFonts w:cs="2  Mitra" w:hint="cs"/>
          <w:sz w:val="28"/>
          <w:szCs w:val="28"/>
          <w:rtl/>
        </w:rPr>
        <w:t>؛</w:t>
      </w:r>
      <w:r w:rsidRPr="00F31D98">
        <w:rPr>
          <w:rFonts w:cs="2  Mitra"/>
          <w:sz w:val="28"/>
          <w:szCs w:val="28"/>
          <w:rtl/>
        </w:rPr>
        <w:t xml:space="preserve"> مثلاً اگر گفته شود: «</w:t>
      </w:r>
      <w:r w:rsidRPr="00F31D98">
        <w:rPr>
          <w:rFonts w:cs="Abz-2 (Badr)"/>
          <w:sz w:val="28"/>
          <w:szCs w:val="28"/>
          <w:rtl/>
        </w:rPr>
        <w:t>جاء القوم</w:t>
      </w:r>
      <w:r w:rsidRPr="00F31D98">
        <w:rPr>
          <w:rFonts w:cs="2  Mitra"/>
          <w:sz w:val="28"/>
          <w:szCs w:val="28"/>
          <w:rtl/>
        </w:rPr>
        <w:t>»، این جمله جز آمدن قوم، معنای دیگری را افاده نمی‌کند و آنچه سبب می‌شود پس از افزودن «إلا» معنای افزوده‌ای از آن فهمیده شود، خودِ حرف استثناء است</w:t>
      </w:r>
      <w:r>
        <w:rPr>
          <w:rFonts w:cs="2  Mitra" w:hint="cs"/>
          <w:sz w:val="28"/>
          <w:szCs w:val="28"/>
          <w:rtl/>
        </w:rPr>
        <w:t>.</w:t>
      </w:r>
    </w:p>
    <w:p w14:paraId="164E5CA3" w14:textId="77777777" w:rsidR="007973E5" w:rsidRDefault="007973E5" w:rsidP="007973E5">
      <w:pPr>
        <w:widowControl w:val="0"/>
        <w:bidi/>
        <w:spacing w:before="240" w:line="259" w:lineRule="auto"/>
        <w:ind w:firstLine="289"/>
        <w:jc w:val="both"/>
        <w:rPr>
          <w:rFonts w:cs="2  Mitra"/>
          <w:sz w:val="28"/>
          <w:szCs w:val="28"/>
          <w:rtl/>
        </w:rPr>
      </w:pPr>
      <w:r w:rsidRPr="00F31D98">
        <w:rPr>
          <w:rFonts w:cs="2  Mitra"/>
          <w:sz w:val="28"/>
          <w:szCs w:val="28"/>
          <w:rtl/>
        </w:rPr>
        <w:t>بنابر</w:t>
      </w:r>
      <w:r>
        <w:rPr>
          <w:rFonts w:cs="2  Mitra" w:hint="cs"/>
          <w:sz w:val="28"/>
          <w:szCs w:val="28"/>
          <w:rtl/>
        </w:rPr>
        <w:t xml:space="preserve"> </w:t>
      </w:r>
      <w:r w:rsidRPr="00F31D98">
        <w:rPr>
          <w:rFonts w:cs="2  Mitra"/>
          <w:sz w:val="28"/>
          <w:szCs w:val="28"/>
          <w:rtl/>
        </w:rPr>
        <w:t>این می‌توان ادعا کرد که ادات استثناء چون وضعاً دلالت بر انحصار حکم در مستثنى‌منه به نحوی می‌کند که شامل مستثنى نشود، لازمه‌اش آن است که حکم مستثنى‌منه از مستثنى منتفی گردد؛ وگرنه انحصار معنا نخواهد داشت.</w:t>
      </w:r>
    </w:p>
    <w:p w14:paraId="57448BCA" w14:textId="77777777" w:rsidR="007973E5" w:rsidRDefault="007973E5" w:rsidP="007973E5">
      <w:pPr>
        <w:widowControl w:val="0"/>
        <w:bidi/>
        <w:spacing w:before="240" w:line="259" w:lineRule="auto"/>
        <w:ind w:firstLine="289"/>
        <w:jc w:val="both"/>
        <w:rPr>
          <w:rFonts w:cs="2  Mitra"/>
          <w:sz w:val="28"/>
          <w:szCs w:val="28"/>
          <w:rtl/>
          <w:lang w:bidi="fa-IR"/>
        </w:rPr>
      </w:pPr>
      <w:r w:rsidRPr="00F31D98">
        <w:rPr>
          <w:rFonts w:cs="2  Mitra"/>
          <w:sz w:val="28"/>
          <w:szCs w:val="28"/>
          <w:rtl/>
        </w:rPr>
        <w:t>این مطلب</w:t>
      </w:r>
      <w:r>
        <w:rPr>
          <w:rFonts w:cs="2  Mitra" w:hint="cs"/>
          <w:sz w:val="28"/>
          <w:szCs w:val="28"/>
          <w:rtl/>
        </w:rPr>
        <w:t xml:space="preserve"> نيز</w:t>
      </w:r>
      <w:r w:rsidRPr="00F31D98">
        <w:rPr>
          <w:rFonts w:cs="2  Mitra"/>
          <w:sz w:val="28"/>
          <w:szCs w:val="28"/>
          <w:rtl/>
        </w:rPr>
        <w:t xml:space="preserve"> مستفاد از منطوق کلام است نه از مفهوم آن؛ زیرا پیش‌تر گفته شد که لوازمی که مستفاد از </w:t>
      </w:r>
      <w:r>
        <w:rPr>
          <w:rFonts w:cs="2  Mitra" w:hint="cs"/>
          <w:sz w:val="28"/>
          <w:szCs w:val="28"/>
          <w:rtl/>
        </w:rPr>
        <w:t>مدلول مطابقی</w:t>
      </w:r>
      <w:r w:rsidRPr="00F31D98">
        <w:rPr>
          <w:rFonts w:cs="2  Mitra"/>
          <w:sz w:val="28"/>
          <w:szCs w:val="28"/>
          <w:rtl/>
        </w:rPr>
        <w:t xml:space="preserve"> الفاظ باشند، در شمار مفاهیم قرار نمی‌گیرند</w:t>
      </w:r>
      <w:r>
        <w:rPr>
          <w:rFonts w:cs="2  Mitra" w:hint="cs"/>
          <w:sz w:val="28"/>
          <w:szCs w:val="28"/>
          <w:rtl/>
          <w:lang w:bidi="fa-IR"/>
        </w:rPr>
        <w:t>.</w:t>
      </w:r>
    </w:p>
    <w:p w14:paraId="7BB3B585" w14:textId="77777777" w:rsidR="007973E5" w:rsidRDefault="007973E5" w:rsidP="007973E5">
      <w:pPr>
        <w:widowControl w:val="0"/>
        <w:bidi/>
        <w:spacing w:before="240" w:line="259" w:lineRule="auto"/>
        <w:ind w:firstLine="289"/>
        <w:jc w:val="both"/>
        <w:rPr>
          <w:rFonts w:cs="2  Mitra"/>
          <w:sz w:val="28"/>
          <w:szCs w:val="28"/>
          <w:rtl/>
          <w:lang w:bidi="fa-IR"/>
        </w:rPr>
      </w:pPr>
      <w:r w:rsidRPr="00F31D98">
        <w:rPr>
          <w:rFonts w:cs="2  Mitra"/>
          <w:sz w:val="28"/>
          <w:szCs w:val="28"/>
          <w:rtl/>
        </w:rPr>
        <w:t>با توجه به آنچه گذشت، حکم در افاده‌ی مفهوم توسط دیگر ادات حصر ـ مانند «إنّما» ـ نیز روشن می‌شود؛ بدین معنا که آنچه از آن‌ها مبنی بر انتفاء حکم از غیر موردی که حکم بر آن حصر شده است، برداشت می‌شود، مبتنی بر وضع آن‌هاست، نه بر مفهومشان</w:t>
      </w:r>
      <w:r>
        <w:rPr>
          <w:rFonts w:cs="2  Mitra" w:hint="cs"/>
          <w:sz w:val="28"/>
          <w:szCs w:val="28"/>
          <w:rtl/>
          <w:lang w:bidi="fa-IR"/>
        </w:rPr>
        <w:t>.</w:t>
      </w:r>
    </w:p>
    <w:p w14:paraId="3847BA29" w14:textId="77777777" w:rsidR="007973E5" w:rsidRPr="00656EE1" w:rsidRDefault="007973E5" w:rsidP="007973E5">
      <w:pPr>
        <w:widowControl w:val="0"/>
        <w:bidi/>
        <w:spacing w:before="240" w:line="259" w:lineRule="auto"/>
        <w:ind w:firstLine="289"/>
        <w:jc w:val="both"/>
        <w:rPr>
          <w:rFonts w:cs="Abz-2 (Badr)"/>
          <w:sz w:val="28"/>
          <w:szCs w:val="28"/>
          <w:rtl/>
        </w:rPr>
      </w:pPr>
      <w:r w:rsidRPr="00F31D98">
        <w:rPr>
          <w:rFonts w:cs="2  Mitra"/>
          <w:sz w:val="28"/>
          <w:szCs w:val="28"/>
          <w:rtl/>
        </w:rPr>
        <w:t>البته در خصوص برخی از ادات حصر، اختلاف وجود دارد که آیا اساساً از ادات حصر به شمار می‌آیند یا خیر</w:t>
      </w:r>
      <w:r>
        <w:rPr>
          <w:rFonts w:cs="2  Mitra" w:hint="cs"/>
          <w:sz w:val="28"/>
          <w:szCs w:val="28"/>
          <w:rtl/>
          <w:lang w:bidi="fa-IR"/>
        </w:rPr>
        <w:t xml:space="preserve"> که محل </w:t>
      </w:r>
      <w:r w:rsidRPr="00F31D98">
        <w:rPr>
          <w:rFonts w:cs="2  Mitra"/>
          <w:sz w:val="28"/>
          <w:szCs w:val="28"/>
          <w:rtl/>
        </w:rPr>
        <w:t xml:space="preserve">تحقیق </w:t>
      </w:r>
      <w:r>
        <w:rPr>
          <w:rFonts w:cs="2  Mitra" w:hint="cs"/>
          <w:sz w:val="28"/>
          <w:szCs w:val="28"/>
          <w:rtl/>
        </w:rPr>
        <w:t>اين مطلب</w:t>
      </w:r>
      <w:r w:rsidRPr="00F31D98">
        <w:rPr>
          <w:rFonts w:cs="2  Mitra"/>
          <w:sz w:val="28"/>
          <w:szCs w:val="28"/>
          <w:rtl/>
        </w:rPr>
        <w:t xml:space="preserve"> </w:t>
      </w:r>
      <w:r>
        <w:rPr>
          <w:rFonts w:cs="2  Mitra" w:hint="cs"/>
          <w:sz w:val="28"/>
          <w:szCs w:val="28"/>
          <w:rtl/>
        </w:rPr>
        <w:t>مباحث مربوط به</w:t>
      </w:r>
      <w:r w:rsidRPr="00F31D98">
        <w:rPr>
          <w:rFonts w:cs="2  Mitra"/>
          <w:sz w:val="28"/>
          <w:szCs w:val="28"/>
          <w:rtl/>
        </w:rPr>
        <w:t xml:space="preserve"> علم </w:t>
      </w:r>
      <w:r>
        <w:rPr>
          <w:rFonts w:cs="2  Mitra" w:hint="cs"/>
          <w:sz w:val="28"/>
          <w:szCs w:val="28"/>
          <w:rtl/>
        </w:rPr>
        <w:t xml:space="preserve">لغت </w:t>
      </w:r>
      <w:r w:rsidRPr="00F31D98">
        <w:rPr>
          <w:rFonts w:cs="2  Mitra"/>
          <w:sz w:val="28"/>
          <w:szCs w:val="28"/>
          <w:rtl/>
        </w:rPr>
        <w:t>است و ارتباطی به بحث اصولی ندارد</w:t>
      </w:r>
      <w:r>
        <w:rPr>
          <w:rFonts w:cs="2  Mitra" w:hint="cs"/>
          <w:sz w:val="28"/>
          <w:szCs w:val="28"/>
          <w:rtl/>
          <w:lang w:bidi="fa-IR"/>
        </w:rPr>
        <w:t>.</w:t>
      </w:r>
    </w:p>
    <w:p w14:paraId="32BD80B3" w14:textId="77777777" w:rsidR="007973E5" w:rsidRDefault="007973E5" w:rsidP="007973E5">
      <w:pPr>
        <w:widowControl w:val="0"/>
        <w:bidi/>
        <w:spacing w:before="240" w:line="259" w:lineRule="auto"/>
        <w:ind w:firstLine="289"/>
        <w:jc w:val="both"/>
        <w:rPr>
          <w:rFonts w:cs="2  Mitra"/>
          <w:sz w:val="28"/>
          <w:szCs w:val="28"/>
          <w:rtl/>
          <w:lang w:bidi="fa-IR"/>
        </w:rPr>
      </w:pPr>
      <w:r>
        <w:rPr>
          <w:rFonts w:cs="2  Mitra" w:hint="cs"/>
          <w:sz w:val="28"/>
          <w:szCs w:val="28"/>
          <w:rtl/>
          <w:lang w:bidi="fa-IR"/>
        </w:rPr>
        <w:t>مثلاً مرحوم شيخ در خصوص ادعای تبادر حصر از لفظ «إنّما» می</w:t>
      </w:r>
      <w:r>
        <w:rPr>
          <w:rFonts w:cs="2  Mitra"/>
          <w:sz w:val="28"/>
          <w:szCs w:val="28"/>
          <w:rtl/>
          <w:lang w:bidi="fa-IR"/>
        </w:rPr>
        <w:softHyphen/>
      </w:r>
      <w:r>
        <w:rPr>
          <w:rFonts w:cs="2  Mitra" w:hint="cs"/>
          <w:sz w:val="28"/>
          <w:szCs w:val="28"/>
          <w:rtl/>
          <w:lang w:bidi="fa-IR"/>
        </w:rPr>
        <w:t xml:space="preserve">فرمايد: </w:t>
      </w:r>
      <w:r w:rsidRPr="000F777A">
        <w:rPr>
          <w:rFonts w:cs="2  Mitra" w:hint="cs"/>
          <w:color w:val="0070C0"/>
          <w:sz w:val="28"/>
          <w:szCs w:val="28"/>
          <w:rtl/>
          <w:lang w:bidi="fa-IR"/>
        </w:rPr>
        <w:t>«</w:t>
      </w:r>
      <w:r w:rsidRPr="000F777A">
        <w:rPr>
          <w:rFonts w:cs="Abz-2 (Badr)" w:hint="cs"/>
          <w:color w:val="0070C0"/>
          <w:sz w:val="28"/>
          <w:szCs w:val="28"/>
          <w:rtl/>
          <w:lang w:bidi="fa-IR"/>
        </w:rPr>
        <w:t>الإنصاف أنّه لا سبيل لنا إلى ذلك؛ فإنّ موارد استعمال هذه اللفظة مختلفة، ولا يعلم بما هو مرادف لها في عرفنا حتّى يستكشف منها ما هو المتبادر منها، بخلاف ما هو بأيدينا من الألفاظ المترادفة قطعاً لبعض الكلمات العربيّة كما في أداة الشرط ونحوها.</w:t>
      </w:r>
      <w:r w:rsidRPr="000F777A">
        <w:rPr>
          <w:rFonts w:cs="2  Mitra" w:hint="cs"/>
          <w:color w:val="0070C0"/>
          <w:sz w:val="28"/>
          <w:szCs w:val="28"/>
          <w:rtl/>
          <w:lang w:bidi="fa-IR"/>
        </w:rPr>
        <w:t>»</w:t>
      </w:r>
      <w:r w:rsidRPr="00CF2BB6">
        <w:rPr>
          <w:rStyle w:val="FootnoteReference"/>
          <w:rFonts w:cs="2  Mitra"/>
          <w:spacing w:val="-2"/>
          <w:sz w:val="28"/>
          <w:szCs w:val="28"/>
          <w:rtl/>
        </w:rPr>
        <w:footnoteReference w:id="5"/>
      </w:r>
    </w:p>
    <w:p w14:paraId="2AFF29A5" w14:textId="77777777" w:rsidR="007973E5" w:rsidRDefault="007973E5" w:rsidP="007973E5">
      <w:pPr>
        <w:widowControl w:val="0"/>
        <w:bidi/>
        <w:spacing w:before="240" w:line="259" w:lineRule="auto"/>
        <w:ind w:firstLine="289"/>
        <w:jc w:val="both"/>
        <w:rPr>
          <w:rFonts w:cs="2  Mitra"/>
          <w:sz w:val="28"/>
          <w:szCs w:val="28"/>
          <w:rtl/>
          <w:lang w:bidi="fa-IR"/>
        </w:rPr>
      </w:pPr>
      <w:r w:rsidRPr="00F31D98">
        <w:rPr>
          <w:rFonts w:cs="2  Mitra"/>
          <w:sz w:val="28"/>
          <w:szCs w:val="28"/>
          <w:rtl/>
        </w:rPr>
        <w:lastRenderedPageBreak/>
        <w:t xml:space="preserve">امّا بر این مدّعا </w:t>
      </w:r>
      <w:r>
        <w:rPr>
          <w:rFonts w:cs="2  Mitra" w:hint="cs"/>
          <w:sz w:val="28"/>
          <w:szCs w:val="28"/>
          <w:rtl/>
        </w:rPr>
        <w:t>دو</w:t>
      </w:r>
      <w:r w:rsidRPr="00F31D98">
        <w:rPr>
          <w:rFonts w:cs="2  Mitra"/>
          <w:sz w:val="28"/>
          <w:szCs w:val="28"/>
          <w:rtl/>
        </w:rPr>
        <w:t xml:space="preserve"> اشکال وارد است</w:t>
      </w:r>
      <w:r>
        <w:rPr>
          <w:rFonts w:cs="2  Mitra" w:hint="cs"/>
          <w:sz w:val="28"/>
          <w:szCs w:val="28"/>
          <w:rtl/>
          <w:lang w:bidi="fa-IR"/>
        </w:rPr>
        <w:t>:</w:t>
      </w:r>
    </w:p>
    <w:p w14:paraId="19ED77E2" w14:textId="77777777" w:rsidR="007973E5" w:rsidRDefault="007973E5" w:rsidP="007973E5">
      <w:pPr>
        <w:widowControl w:val="0"/>
        <w:bidi/>
        <w:spacing w:before="240" w:line="259" w:lineRule="auto"/>
        <w:ind w:firstLine="289"/>
        <w:jc w:val="both"/>
        <w:rPr>
          <w:rFonts w:cs="2  Mitra"/>
          <w:sz w:val="28"/>
          <w:szCs w:val="28"/>
          <w:rtl/>
          <w:lang w:bidi="fa-IR"/>
        </w:rPr>
      </w:pPr>
      <w:r w:rsidRPr="00F31D98">
        <w:rPr>
          <w:rFonts w:cs="2  Mitra"/>
          <w:sz w:val="28"/>
          <w:szCs w:val="28"/>
          <w:rtl/>
        </w:rPr>
        <w:t>اولاً</w:t>
      </w:r>
      <w:r w:rsidRPr="00F31D98">
        <w:rPr>
          <w:rFonts w:cs="2  Mitra" w:hint="cs"/>
          <w:sz w:val="28"/>
          <w:szCs w:val="28"/>
          <w:rtl/>
          <w:lang w:bidi="fa-IR"/>
        </w:rPr>
        <w:t>:</w:t>
      </w:r>
      <w:r>
        <w:rPr>
          <w:rFonts w:cs="2  Mitra" w:hint="cs"/>
          <w:sz w:val="28"/>
          <w:szCs w:val="28"/>
          <w:rtl/>
          <w:lang w:bidi="fa-IR"/>
        </w:rPr>
        <w:t xml:space="preserve"> </w:t>
      </w:r>
      <w:r w:rsidRPr="00F31D98">
        <w:rPr>
          <w:rFonts w:cs="2  Mitra"/>
          <w:sz w:val="28"/>
          <w:szCs w:val="28"/>
          <w:rtl/>
        </w:rPr>
        <w:t>لفظ «إنّما» در زبان فارسی دارای مترادف است و لفظ «تنها» به عنوان مترادف آن به‌کار می‌رود</w:t>
      </w:r>
      <w:r>
        <w:rPr>
          <w:rFonts w:cs="2  Mitra" w:hint="cs"/>
          <w:sz w:val="28"/>
          <w:szCs w:val="28"/>
          <w:rtl/>
          <w:lang w:bidi="fa-IR"/>
        </w:rPr>
        <w:t>. البته درست است که اين لفظ در عربی گاهی اوقات برای تأکيد استعمال می</w:t>
      </w:r>
      <w:r>
        <w:rPr>
          <w:rFonts w:cs="2  Mitra"/>
          <w:sz w:val="28"/>
          <w:szCs w:val="28"/>
          <w:rtl/>
          <w:lang w:bidi="fa-IR"/>
        </w:rPr>
        <w:softHyphen/>
      </w:r>
      <w:r>
        <w:rPr>
          <w:rFonts w:cs="2  Mitra" w:hint="cs"/>
          <w:sz w:val="28"/>
          <w:szCs w:val="28"/>
          <w:rtl/>
          <w:lang w:bidi="fa-IR"/>
        </w:rPr>
        <w:t>شود و انحصار از آن فهميده نمی</w:t>
      </w:r>
      <w:r>
        <w:rPr>
          <w:rFonts w:cs="2  Mitra"/>
          <w:sz w:val="28"/>
          <w:szCs w:val="28"/>
          <w:rtl/>
          <w:lang w:bidi="fa-IR"/>
        </w:rPr>
        <w:softHyphen/>
      </w:r>
      <w:r>
        <w:rPr>
          <w:rFonts w:cs="2  Mitra" w:hint="cs"/>
          <w:sz w:val="28"/>
          <w:szCs w:val="28"/>
          <w:rtl/>
          <w:lang w:bidi="fa-IR"/>
        </w:rPr>
        <w:t>شود، اما اين مطلب به اين معنا نيست که در مواردی که برای انحصار استعمال می</w:t>
      </w:r>
      <w:r>
        <w:rPr>
          <w:rFonts w:cs="2  Mitra"/>
          <w:sz w:val="28"/>
          <w:szCs w:val="28"/>
          <w:rtl/>
          <w:lang w:bidi="fa-IR"/>
        </w:rPr>
        <w:softHyphen/>
      </w:r>
      <w:r>
        <w:rPr>
          <w:rFonts w:cs="2  Mitra" w:hint="cs"/>
          <w:sz w:val="28"/>
          <w:szCs w:val="28"/>
          <w:rtl/>
          <w:lang w:bidi="fa-IR"/>
        </w:rPr>
        <w:t>گردد، نتوان معادلی برای آن در زبان</w:t>
      </w:r>
      <w:r>
        <w:rPr>
          <w:rFonts w:cs="2  Mitra"/>
          <w:sz w:val="28"/>
          <w:szCs w:val="28"/>
          <w:rtl/>
          <w:lang w:bidi="fa-IR"/>
        </w:rPr>
        <w:softHyphen/>
      </w:r>
      <w:r>
        <w:rPr>
          <w:rFonts w:cs="2  Mitra" w:hint="cs"/>
          <w:sz w:val="28"/>
          <w:szCs w:val="28"/>
          <w:rtl/>
          <w:lang w:bidi="fa-IR"/>
        </w:rPr>
        <w:t>های ديگر يافت.</w:t>
      </w:r>
    </w:p>
    <w:p w14:paraId="461CE3E1" w14:textId="77777777" w:rsidR="007973E5" w:rsidRDefault="007973E5" w:rsidP="007973E5">
      <w:pPr>
        <w:widowControl w:val="0"/>
        <w:bidi/>
        <w:spacing w:before="240" w:line="259" w:lineRule="auto"/>
        <w:ind w:firstLine="289"/>
        <w:jc w:val="both"/>
        <w:rPr>
          <w:rFonts w:cs="2  Mitra"/>
          <w:sz w:val="28"/>
          <w:szCs w:val="28"/>
          <w:rtl/>
        </w:rPr>
      </w:pPr>
      <w:r w:rsidRPr="00F31D98">
        <w:rPr>
          <w:rFonts w:cs="2  Mitra"/>
          <w:sz w:val="28"/>
          <w:szCs w:val="28"/>
          <w:rtl/>
        </w:rPr>
        <w:t>ثانیاً</w:t>
      </w:r>
      <w:r>
        <w:rPr>
          <w:rFonts w:cs="2  Mitra" w:hint="cs"/>
          <w:sz w:val="28"/>
          <w:szCs w:val="28"/>
          <w:rtl/>
          <w:lang w:bidi="fa-IR"/>
        </w:rPr>
        <w:t xml:space="preserve">: </w:t>
      </w:r>
      <w:r w:rsidRPr="00F31D98">
        <w:rPr>
          <w:rFonts w:cs="2  Mitra"/>
          <w:sz w:val="28"/>
          <w:szCs w:val="28"/>
          <w:rtl/>
        </w:rPr>
        <w:t>همان‌گونه که مرحوم آخوند نیز فرموده‌اند</w:t>
      </w:r>
      <w:r w:rsidRPr="00CF2BB6">
        <w:rPr>
          <w:rStyle w:val="FootnoteReference"/>
          <w:rFonts w:cs="2  Mitra"/>
          <w:spacing w:val="-2"/>
          <w:sz w:val="28"/>
          <w:szCs w:val="28"/>
          <w:rtl/>
        </w:rPr>
        <w:footnoteReference w:id="6"/>
      </w:r>
      <w:r w:rsidRPr="00F31D98">
        <w:rPr>
          <w:rFonts w:cs="2  Mitra"/>
          <w:sz w:val="28"/>
          <w:szCs w:val="28"/>
          <w:rtl/>
        </w:rPr>
        <w:t>، کشف تبادر توسط کسی که به زبانی تکلم نمی‌کند، منوط بر این نیست که آن لفظ در زبان او دارای مترادف باشد، بلکه تبادر را می‌توان از طریق پرسش از اهل لغت آن زبان کشف کرد</w:t>
      </w:r>
      <w:r>
        <w:rPr>
          <w:rFonts w:cs="2  Mitra" w:hint="cs"/>
          <w:sz w:val="28"/>
          <w:szCs w:val="28"/>
          <w:rtl/>
        </w:rPr>
        <w:t>.</w:t>
      </w:r>
    </w:p>
    <w:p w14:paraId="5D5F1337" w14:textId="77777777" w:rsidR="007973E5" w:rsidRDefault="007973E5" w:rsidP="007973E5">
      <w:pPr>
        <w:widowControl w:val="0"/>
        <w:bidi/>
        <w:spacing w:before="240" w:line="259" w:lineRule="auto"/>
        <w:ind w:firstLine="289"/>
        <w:jc w:val="both"/>
        <w:rPr>
          <w:rFonts w:cs="2  Mitra"/>
          <w:sz w:val="28"/>
          <w:szCs w:val="28"/>
          <w:rtl/>
        </w:rPr>
      </w:pPr>
      <w:r w:rsidRPr="00F31D98">
        <w:rPr>
          <w:rFonts w:cs="2  Mitra"/>
          <w:sz w:val="28"/>
          <w:szCs w:val="28"/>
          <w:rtl/>
        </w:rPr>
        <w:t>بلکه حق آن است که کشف تبادر بر اساس رجوع به مترادفات در زبان‌های دیگر، اساساً نمی‌تواند ملاک باشد؛ زیرا ترادف لغات بدین معنا نیست که موضوع‌له آن‌ها از جمیع جهات یکسان است، بلکه ترادف به معنای نزدیکیِ موضوع‌له دو لفظ است. ازاین‌رو گفته می‌شود که هیچ زبانی قابلیت ترجمه‌ی کامل و صددرصد به زبان دیگر را ندارد</w:t>
      </w:r>
      <w:r>
        <w:rPr>
          <w:rFonts w:cs="2  Mitra" w:hint="cs"/>
          <w:sz w:val="28"/>
          <w:szCs w:val="28"/>
          <w:rtl/>
        </w:rPr>
        <w:t>.</w:t>
      </w:r>
    </w:p>
    <w:p w14:paraId="23711513" w14:textId="77777777" w:rsidR="007973E5" w:rsidRDefault="007973E5" w:rsidP="007973E5">
      <w:pPr>
        <w:widowControl w:val="0"/>
        <w:bidi/>
        <w:spacing w:before="240" w:line="259" w:lineRule="auto"/>
        <w:ind w:firstLine="289"/>
        <w:jc w:val="both"/>
        <w:rPr>
          <w:rFonts w:cs="2  Mitra"/>
          <w:sz w:val="28"/>
          <w:szCs w:val="28"/>
          <w:rtl/>
        </w:rPr>
      </w:pPr>
      <w:r w:rsidRPr="00F31D98">
        <w:rPr>
          <w:rFonts w:cs="2  Mitra"/>
          <w:sz w:val="28"/>
          <w:szCs w:val="28"/>
          <w:rtl/>
        </w:rPr>
        <w:t>البته باید توجه داشت که حصر، گاهی اضافی است و گاهی حقیقی</w:t>
      </w:r>
      <w:r>
        <w:rPr>
          <w:rFonts w:cs="2  Mitra" w:hint="cs"/>
          <w:sz w:val="28"/>
          <w:szCs w:val="28"/>
          <w:rtl/>
        </w:rPr>
        <w:t>.</w:t>
      </w:r>
      <w:r w:rsidRPr="00F31D98">
        <w:rPr>
          <w:rFonts w:cs="2  Mitra"/>
          <w:sz w:val="28"/>
          <w:szCs w:val="28"/>
          <w:rtl/>
        </w:rPr>
        <w:t xml:space="preserve"> در صورت اول، نفی حکم به‌وسیله‌ی ادات حصر، از اموری انجام می‌گیرد که حصر نسبت به آن‌ها لحاظ شده است، نه به نحو مطلق. حصر حقیقی نیز در برخی موارد ادعایی و از باب مبالغه است</w:t>
      </w:r>
      <w:r>
        <w:rPr>
          <w:rFonts w:cs="2  Mitra" w:hint="cs"/>
          <w:sz w:val="28"/>
          <w:szCs w:val="28"/>
          <w:rtl/>
        </w:rPr>
        <w:t xml:space="preserve"> ـ</w:t>
      </w:r>
      <w:r w:rsidRPr="00F31D98">
        <w:rPr>
          <w:rFonts w:cs="2  Mitra"/>
          <w:sz w:val="28"/>
          <w:szCs w:val="28"/>
          <w:rtl/>
        </w:rPr>
        <w:t xml:space="preserve"> مانند حصر وصف به موصوف، نظیر: «</w:t>
      </w:r>
      <w:r w:rsidRPr="00F31D98">
        <w:rPr>
          <w:rFonts w:cs="Abz-2 (Badr)"/>
          <w:sz w:val="28"/>
          <w:szCs w:val="28"/>
          <w:rtl/>
        </w:rPr>
        <w:t>إنّما العالم هو ز</w:t>
      </w:r>
      <w:r>
        <w:rPr>
          <w:rFonts w:cs="Abz-2 (Badr)" w:hint="cs"/>
          <w:sz w:val="28"/>
          <w:szCs w:val="28"/>
          <w:rtl/>
        </w:rPr>
        <w:t>ي</w:t>
      </w:r>
      <w:r w:rsidRPr="00F31D98">
        <w:rPr>
          <w:rFonts w:cs="Abz-2 (Badr)"/>
          <w:sz w:val="28"/>
          <w:szCs w:val="28"/>
          <w:rtl/>
        </w:rPr>
        <w:t>د</w:t>
      </w:r>
      <w:r w:rsidRPr="00F31D98">
        <w:rPr>
          <w:rFonts w:cs="2  Mitra"/>
          <w:sz w:val="28"/>
          <w:szCs w:val="28"/>
          <w:rtl/>
        </w:rPr>
        <w:t>»</w:t>
      </w:r>
      <w:r>
        <w:rPr>
          <w:rFonts w:cs="2  Mitra" w:hint="cs"/>
          <w:sz w:val="28"/>
          <w:szCs w:val="28"/>
          <w:rtl/>
        </w:rPr>
        <w:t xml:space="preserve"> ـ</w:t>
      </w:r>
      <w:r w:rsidRPr="00F31D98">
        <w:rPr>
          <w:rFonts w:cs="2  Mitra"/>
          <w:sz w:val="28"/>
          <w:szCs w:val="28"/>
          <w:rtl/>
        </w:rPr>
        <w:t xml:space="preserve"> که در این صورت نیز حصر، موجب نفی حکم از غیر محصور</w:t>
      </w:r>
      <w:r>
        <w:rPr>
          <w:rFonts w:cs="2  Mitra" w:hint="cs"/>
          <w:sz w:val="28"/>
          <w:szCs w:val="28"/>
          <w:rtl/>
        </w:rPr>
        <w:t xml:space="preserve"> </w:t>
      </w:r>
      <w:r w:rsidRPr="00F31D98">
        <w:rPr>
          <w:rFonts w:cs="2  Mitra"/>
          <w:sz w:val="28"/>
          <w:szCs w:val="28"/>
          <w:rtl/>
        </w:rPr>
        <w:t>فیه می‌شود، ولی این نفی، همچون خود حصر، ادعایی است</w:t>
      </w:r>
      <w:r>
        <w:rPr>
          <w:rFonts w:cs="2  Mitra" w:hint="cs"/>
          <w:sz w:val="28"/>
          <w:szCs w:val="28"/>
          <w:rtl/>
        </w:rPr>
        <w:t>.</w:t>
      </w:r>
    </w:p>
    <w:p w14:paraId="4442498D" w14:textId="77777777" w:rsidR="007973E5" w:rsidRDefault="007973E5" w:rsidP="007973E5">
      <w:pPr>
        <w:widowControl w:val="0"/>
        <w:bidi/>
        <w:spacing w:before="240" w:line="259" w:lineRule="auto"/>
        <w:ind w:firstLine="289"/>
        <w:jc w:val="both"/>
        <w:rPr>
          <w:rFonts w:cs="2  Mitra"/>
          <w:sz w:val="28"/>
          <w:szCs w:val="28"/>
          <w:rtl/>
        </w:rPr>
      </w:pPr>
      <w:r>
        <w:rPr>
          <w:rFonts w:cs="2  Mitra" w:hint="cs"/>
          <w:sz w:val="28"/>
          <w:szCs w:val="28"/>
          <w:rtl/>
        </w:rPr>
        <w:t>به اين ترتيب بحث از مفاهيم نيز به پايان رسيد و از جلسه آينده به بحث «عام و خاص» خواهيم پرداخت إن شاء الله.</w:t>
      </w:r>
    </w:p>
    <w:p w14:paraId="3E0C8349" w14:textId="77777777" w:rsidR="007973E5" w:rsidRDefault="007973E5" w:rsidP="007973E5">
      <w:pPr>
        <w:spacing w:line="259" w:lineRule="auto"/>
        <w:rPr>
          <w:rFonts w:cs="2  Mitra"/>
          <w:sz w:val="28"/>
          <w:szCs w:val="28"/>
          <w:rtl/>
        </w:rPr>
      </w:pPr>
      <w:r>
        <w:rPr>
          <w:rFonts w:cs="2  Mitra"/>
          <w:sz w:val="28"/>
          <w:szCs w:val="28"/>
          <w:rtl/>
        </w:rPr>
        <w:br w:type="page"/>
      </w:r>
    </w:p>
    <w:p w14:paraId="011551ED" w14:textId="77777777" w:rsidR="007973E5" w:rsidRDefault="007973E5" w:rsidP="007973E5">
      <w:pPr>
        <w:widowControl w:val="0"/>
        <w:bidi/>
        <w:spacing w:after="0" w:line="259" w:lineRule="auto"/>
        <w:ind w:firstLine="289"/>
        <w:jc w:val="both"/>
        <w:rPr>
          <w:rFonts w:cs="Abz-2 (Badr)"/>
          <w:spacing w:val="-2"/>
          <w:sz w:val="28"/>
          <w:szCs w:val="28"/>
          <w:rtl/>
        </w:rPr>
      </w:pPr>
      <w:r w:rsidRPr="0006796C">
        <w:rPr>
          <w:rFonts w:cs="Abz-2 (Badr)"/>
          <w:spacing w:val="-2"/>
          <w:sz w:val="28"/>
          <w:szCs w:val="28"/>
          <w:rtl/>
        </w:rPr>
        <w:lastRenderedPageBreak/>
        <w:t xml:space="preserve">ادّعى </w:t>
      </w:r>
      <w:r>
        <w:rPr>
          <w:rFonts w:cs="Abz-2 (Badr)" w:hint="cs"/>
          <w:spacing w:val="-2"/>
          <w:sz w:val="28"/>
          <w:szCs w:val="28"/>
          <w:rtl/>
        </w:rPr>
        <w:t>المحقّق الخراساني</w:t>
      </w:r>
      <w:r w:rsidRPr="0006796C">
        <w:rPr>
          <w:rFonts w:cs="Abz-2 (Badr)"/>
          <w:spacing w:val="-2"/>
          <w:sz w:val="28"/>
          <w:szCs w:val="28"/>
          <w:rtl/>
        </w:rPr>
        <w:t xml:space="preserve"> أنّ الحكم المترتّب على المستثنى مستفاد من مفهوم الاستثناء لا من منطوقه. ووجّه ذلك بأنّ حكم المستثنى لازم للخصوصيّة الكامنة في حكم جانب المستثنى منه التي تدلّ عليها </w:t>
      </w:r>
      <w:r>
        <w:rPr>
          <w:rFonts w:cs="Abz-2 (Badr)" w:hint="cs"/>
          <w:spacing w:val="-2"/>
          <w:sz w:val="28"/>
          <w:szCs w:val="28"/>
          <w:rtl/>
        </w:rPr>
        <w:t>ال</w:t>
      </w:r>
      <w:r w:rsidRPr="0006796C">
        <w:rPr>
          <w:rFonts w:cs="Abz-2 (Badr)"/>
          <w:spacing w:val="-2"/>
          <w:sz w:val="28"/>
          <w:szCs w:val="28"/>
          <w:rtl/>
        </w:rPr>
        <w:t>جملة الاستثنا</w:t>
      </w:r>
      <w:r>
        <w:rPr>
          <w:rFonts w:cs="Abz-2 (Badr)" w:hint="cs"/>
          <w:spacing w:val="-2"/>
          <w:sz w:val="28"/>
          <w:szCs w:val="28"/>
          <w:rtl/>
        </w:rPr>
        <w:t>ئيّة.</w:t>
      </w:r>
    </w:p>
    <w:p w14:paraId="29F4B2BD" w14:textId="77777777" w:rsidR="007973E5" w:rsidRDefault="007973E5" w:rsidP="007973E5">
      <w:pPr>
        <w:widowControl w:val="0"/>
        <w:bidi/>
        <w:spacing w:after="0" w:line="259" w:lineRule="auto"/>
        <w:ind w:firstLine="284"/>
        <w:jc w:val="both"/>
        <w:rPr>
          <w:rFonts w:cs="2  Mitra"/>
          <w:spacing w:val="-2"/>
          <w:sz w:val="28"/>
          <w:szCs w:val="28"/>
          <w:rtl/>
        </w:rPr>
      </w:pPr>
      <w:r w:rsidRPr="0006796C">
        <w:rPr>
          <w:rFonts w:cs="Abz-2 (Badr)"/>
          <w:spacing w:val="-2"/>
          <w:sz w:val="28"/>
          <w:szCs w:val="28"/>
          <w:rtl/>
        </w:rPr>
        <w:t>ثمّ أضاف: إنّه لو كان الحكم الثابت للمستثنى مستفاداً من نفس الاستثناء، لا من الخصوصيّة الموجودة في حكم المستثنى منه، لأمكن حينئذ القول بأنّ الدلالة عليه بالمنطوق لا بالمفهوم</w:t>
      </w:r>
      <w:r w:rsidRPr="00035555">
        <w:rPr>
          <w:rFonts w:cs="2  Mitra" w:hint="cs"/>
          <w:spacing w:val="-2"/>
          <w:sz w:val="28"/>
          <w:szCs w:val="28"/>
          <w:rtl/>
        </w:rPr>
        <w:t>.</w:t>
      </w:r>
      <w:r w:rsidRPr="0006796C">
        <w:rPr>
          <w:rStyle w:val="FootnoteReference"/>
          <w:rFonts w:cs="Abz-2 (Badr)"/>
          <w:spacing w:val="-2"/>
          <w:sz w:val="28"/>
          <w:szCs w:val="28"/>
          <w:rtl/>
        </w:rPr>
        <w:footnoteReference w:id="7"/>
      </w:r>
    </w:p>
    <w:p w14:paraId="2B79B4A2" w14:textId="77777777" w:rsidR="007973E5" w:rsidRDefault="007973E5" w:rsidP="007973E5">
      <w:pPr>
        <w:widowControl w:val="0"/>
        <w:bidi/>
        <w:spacing w:after="0" w:line="259" w:lineRule="auto"/>
        <w:ind w:firstLine="284"/>
        <w:jc w:val="both"/>
        <w:rPr>
          <w:rFonts w:cs="2  Mitra"/>
          <w:sz w:val="28"/>
          <w:szCs w:val="28"/>
          <w:rtl/>
          <w:lang w:bidi="fa-IR"/>
        </w:rPr>
      </w:pPr>
      <w:r w:rsidRPr="0006796C">
        <w:rPr>
          <w:rFonts w:cs="Abz-2 (Badr)"/>
          <w:spacing w:val="-2"/>
          <w:sz w:val="28"/>
          <w:szCs w:val="28"/>
          <w:rtl/>
        </w:rPr>
        <w:t xml:space="preserve">كما ذكر المحقّق العراقي في الاستدلال على أنّ حكم المستثنى مستفاد من المفهوم لا من المنطوق </w:t>
      </w:r>
      <w:r>
        <w:rPr>
          <w:rFonts w:cs="Abz-2 (Badr)" w:hint="cs"/>
          <w:spacing w:val="-2"/>
          <w:sz w:val="28"/>
          <w:szCs w:val="28"/>
          <w:rtl/>
        </w:rPr>
        <w:t>أ</w:t>
      </w:r>
      <w:r w:rsidRPr="0006796C">
        <w:rPr>
          <w:rFonts w:cs="Abz-2 (Badr)"/>
          <w:spacing w:val="-2"/>
          <w:sz w:val="28"/>
          <w:szCs w:val="28"/>
          <w:rtl/>
        </w:rPr>
        <w:t>نّ حكم المستثنى من لوازم انحصار سنخ الحكم بالمستثنى منه</w:t>
      </w:r>
      <w:r>
        <w:rPr>
          <w:rFonts w:cs="Abz-2 (Badr)" w:hint="cs"/>
          <w:spacing w:val="-2"/>
          <w:sz w:val="28"/>
          <w:szCs w:val="28"/>
          <w:rtl/>
        </w:rPr>
        <w:t>.</w:t>
      </w:r>
      <w:r w:rsidRPr="0006796C">
        <w:rPr>
          <w:rStyle w:val="FootnoteReference"/>
          <w:rFonts w:cs="Abz-2 (Badr)"/>
          <w:spacing w:val="-2"/>
          <w:sz w:val="28"/>
          <w:szCs w:val="28"/>
          <w:rtl/>
        </w:rPr>
        <w:footnoteReference w:id="8"/>
      </w:r>
    </w:p>
    <w:p w14:paraId="77138420" w14:textId="77777777" w:rsidR="007973E5" w:rsidRDefault="007973E5" w:rsidP="007973E5">
      <w:pPr>
        <w:widowControl w:val="0"/>
        <w:bidi/>
        <w:spacing w:after="0" w:line="259" w:lineRule="auto"/>
        <w:ind w:firstLine="284"/>
        <w:jc w:val="both"/>
        <w:rPr>
          <w:rFonts w:cs="Abz-2 (Badr)"/>
          <w:spacing w:val="-2"/>
          <w:sz w:val="28"/>
          <w:szCs w:val="28"/>
          <w:rtl/>
        </w:rPr>
      </w:pPr>
      <w:r w:rsidRPr="0006796C">
        <w:rPr>
          <w:rFonts w:cs="Abz-2 (Badr)"/>
          <w:spacing w:val="-2"/>
          <w:sz w:val="28"/>
          <w:szCs w:val="28"/>
          <w:rtl/>
        </w:rPr>
        <w:t>ولكن يرد على هذا المدّعى عدّة إشكالات</w:t>
      </w:r>
      <w:r>
        <w:rPr>
          <w:rFonts w:cs="Abz-2 (Badr)" w:hint="cs"/>
          <w:spacing w:val="-2"/>
          <w:sz w:val="28"/>
          <w:szCs w:val="28"/>
          <w:rtl/>
        </w:rPr>
        <w:t>:</w:t>
      </w:r>
    </w:p>
    <w:p w14:paraId="42C0BCF1" w14:textId="77777777" w:rsidR="007973E5" w:rsidRDefault="007973E5" w:rsidP="007973E5">
      <w:pPr>
        <w:widowControl w:val="0"/>
        <w:bidi/>
        <w:spacing w:after="0" w:line="259" w:lineRule="auto"/>
        <w:ind w:firstLine="284"/>
        <w:jc w:val="both"/>
        <w:rPr>
          <w:rFonts w:cs="Abz-2 (Badr)"/>
          <w:spacing w:val="-2"/>
          <w:sz w:val="28"/>
          <w:szCs w:val="28"/>
          <w:rtl/>
        </w:rPr>
      </w:pPr>
      <w:r w:rsidRPr="0006796C">
        <w:rPr>
          <w:rFonts w:cs="Abz-2 (Badr)"/>
          <w:spacing w:val="-2"/>
          <w:sz w:val="28"/>
          <w:szCs w:val="28"/>
          <w:rtl/>
        </w:rPr>
        <w:t>أوّلاً: كما تقدّم في المباحث التمهيدية، فإنّ إفادة القيد لمفهوم موقوفة على كونه علّةً منحصرة لترتّب الحكم على ذات الموضوع، وهذا الشرط مفقود في محلّ الكلام</w:t>
      </w:r>
      <w:r>
        <w:rPr>
          <w:rFonts w:cs="Abz-2 (Badr)" w:hint="cs"/>
          <w:spacing w:val="-2"/>
          <w:sz w:val="28"/>
          <w:szCs w:val="28"/>
          <w:rtl/>
        </w:rPr>
        <w:t>.</w:t>
      </w:r>
    </w:p>
    <w:p w14:paraId="771D4EC7" w14:textId="77777777" w:rsidR="007973E5" w:rsidRDefault="007973E5" w:rsidP="007973E5">
      <w:pPr>
        <w:widowControl w:val="0"/>
        <w:bidi/>
        <w:spacing w:after="0" w:line="259" w:lineRule="auto"/>
        <w:ind w:firstLine="284"/>
        <w:jc w:val="both"/>
        <w:rPr>
          <w:rFonts w:cs="Abz-2 (Badr)"/>
          <w:spacing w:val="-2"/>
          <w:sz w:val="28"/>
          <w:szCs w:val="28"/>
          <w:rtl/>
        </w:rPr>
      </w:pPr>
      <w:r w:rsidRPr="0006796C">
        <w:rPr>
          <w:rFonts w:cs="Abz-2 (Badr)"/>
          <w:spacing w:val="-2"/>
          <w:sz w:val="28"/>
          <w:szCs w:val="28"/>
          <w:rtl/>
        </w:rPr>
        <w:t>ثانياً: من شروط إفادة القضيّة للمفهوم بقاء ذات الموضوع مع تغيّر قيوده فقط، في حين أنّ ذات الموضوع في المستثنى مغايرة لذات الموضوع في المستثنى منه؛ فمثلاً في قولنا: «جاء القوم إلّا زيداً» يكون موضوع الحكم في جملة المستثنى منه هو «القوم»، بينما موضوع الحكم في جملة المستثنى هو «زيد». وعليه فلا يصحّ عدّ الحكم المستفاد في خصوص «زيد» مفهوماً للحكم المستفاد في خصوص «القوم</w:t>
      </w:r>
      <w:r>
        <w:rPr>
          <w:rFonts w:cs="Abz-2 (Badr)" w:hint="cs"/>
          <w:spacing w:val="-2"/>
          <w:sz w:val="28"/>
          <w:szCs w:val="28"/>
          <w:rtl/>
        </w:rPr>
        <w:t>».</w:t>
      </w:r>
    </w:p>
    <w:p w14:paraId="3A641158" w14:textId="77777777" w:rsidR="007973E5" w:rsidRDefault="007973E5" w:rsidP="007973E5">
      <w:pPr>
        <w:widowControl w:val="0"/>
        <w:bidi/>
        <w:spacing w:after="0" w:line="259" w:lineRule="auto"/>
        <w:ind w:firstLine="284"/>
        <w:jc w:val="both"/>
        <w:rPr>
          <w:rFonts w:cs="2  Mitra"/>
          <w:sz w:val="28"/>
          <w:szCs w:val="28"/>
          <w:rtl/>
          <w:lang w:bidi="fa-IR"/>
        </w:rPr>
      </w:pPr>
      <w:r w:rsidRPr="00E81439">
        <w:rPr>
          <w:rFonts w:cs="Abz-2 (Badr)"/>
          <w:spacing w:val="-2"/>
          <w:sz w:val="28"/>
          <w:szCs w:val="28"/>
          <w:rtl/>
        </w:rPr>
        <w:t>وقد ذكر الميرزا النائيني أيضاً مطلباً قريباً من ذلك في مقام البحث عن إفادة لفظ «إنّما» للمفهوم</w:t>
      </w:r>
      <w:r>
        <w:rPr>
          <w:rFonts w:cs="Abz-2 (Badr)" w:hint="cs"/>
          <w:spacing w:val="-2"/>
          <w:sz w:val="28"/>
          <w:szCs w:val="28"/>
          <w:rtl/>
        </w:rPr>
        <w:t>.</w:t>
      </w:r>
      <w:r w:rsidRPr="00E81439">
        <w:rPr>
          <w:rStyle w:val="FootnoteReference"/>
          <w:rFonts w:cs="Abz-2 (Badr)"/>
          <w:spacing w:val="-2"/>
          <w:sz w:val="28"/>
          <w:szCs w:val="28"/>
          <w:rtl/>
        </w:rPr>
        <w:footnoteReference w:id="9"/>
      </w:r>
    </w:p>
    <w:p w14:paraId="2BFA29EC" w14:textId="77777777" w:rsidR="007973E5" w:rsidRDefault="007973E5" w:rsidP="007973E5">
      <w:pPr>
        <w:widowControl w:val="0"/>
        <w:bidi/>
        <w:spacing w:after="0" w:line="259" w:lineRule="auto"/>
        <w:ind w:firstLine="284"/>
        <w:jc w:val="both"/>
        <w:rPr>
          <w:rFonts w:cs="Abz-2 (Badr)"/>
          <w:spacing w:val="-2"/>
          <w:sz w:val="28"/>
          <w:szCs w:val="28"/>
          <w:rtl/>
        </w:rPr>
      </w:pPr>
      <w:r w:rsidRPr="00E81439">
        <w:rPr>
          <w:rFonts w:cs="Abz-2 (Badr)"/>
          <w:spacing w:val="-2"/>
          <w:sz w:val="28"/>
          <w:szCs w:val="28"/>
          <w:rtl/>
        </w:rPr>
        <w:t>ثالثاً: إنّ حكم المستثنى منه لا يشتمل في نفسه على خصوصيّة يمكن أن ينفى الحكم عن المستثنى بمقتضاها، وإنّما أداة الاستثناء هي التي تقتضي استفادة معنى زائد في جملة المستثنى؛ فلو قيل: «جاء القوم» لم يفد الكلام إل</w:t>
      </w:r>
      <w:r>
        <w:rPr>
          <w:rFonts w:cs="Abz-2 (Badr)" w:hint="cs"/>
          <w:spacing w:val="-2"/>
          <w:sz w:val="28"/>
          <w:szCs w:val="28"/>
          <w:rtl/>
        </w:rPr>
        <w:t>ّ</w:t>
      </w:r>
      <w:r w:rsidRPr="00E81439">
        <w:rPr>
          <w:rFonts w:cs="Abz-2 (Badr)"/>
          <w:spacing w:val="-2"/>
          <w:sz w:val="28"/>
          <w:szCs w:val="28"/>
          <w:rtl/>
        </w:rPr>
        <w:t>ا مجيء القوم، وأمّا الذي يوجب عند إدخال «إلّا» إفادة معنى</w:t>
      </w:r>
      <w:r>
        <w:rPr>
          <w:rFonts w:cs="Abz-2 (Badr)" w:hint="cs"/>
          <w:spacing w:val="-2"/>
          <w:sz w:val="28"/>
          <w:szCs w:val="28"/>
          <w:rtl/>
        </w:rPr>
        <w:t>ً</w:t>
      </w:r>
      <w:r w:rsidRPr="00E81439">
        <w:rPr>
          <w:rFonts w:cs="Abz-2 (Badr)"/>
          <w:spacing w:val="-2"/>
          <w:sz w:val="28"/>
          <w:szCs w:val="28"/>
          <w:rtl/>
        </w:rPr>
        <w:t xml:space="preserve"> زائد فهو نفس أداة الاستثناء</w:t>
      </w:r>
      <w:r>
        <w:rPr>
          <w:rFonts w:cs="Abz-2 (Badr)" w:hint="cs"/>
          <w:spacing w:val="-2"/>
          <w:sz w:val="28"/>
          <w:szCs w:val="28"/>
          <w:rtl/>
        </w:rPr>
        <w:t>.</w:t>
      </w:r>
    </w:p>
    <w:p w14:paraId="37270B1E" w14:textId="77777777" w:rsidR="007973E5" w:rsidRDefault="007973E5" w:rsidP="007973E5">
      <w:pPr>
        <w:widowControl w:val="0"/>
        <w:bidi/>
        <w:spacing w:after="0" w:line="259" w:lineRule="auto"/>
        <w:ind w:firstLine="284"/>
        <w:jc w:val="both"/>
        <w:rPr>
          <w:rFonts w:cs="Abz-2 (Badr)"/>
          <w:spacing w:val="-2"/>
          <w:sz w:val="28"/>
          <w:szCs w:val="28"/>
          <w:rtl/>
        </w:rPr>
      </w:pPr>
      <w:r w:rsidRPr="00E81439">
        <w:rPr>
          <w:rFonts w:cs="Abz-2 (Badr)"/>
          <w:spacing w:val="-2"/>
          <w:sz w:val="28"/>
          <w:szCs w:val="28"/>
          <w:rtl/>
        </w:rPr>
        <w:t xml:space="preserve">وعليه يمكن الادّعاء بأنّ أداة الاستثناء تدلّ بالوضع على انحصار الحكم في المستثنى منه بنحو لا يشمل المستثنى، ويلزم </w:t>
      </w:r>
      <w:r w:rsidRPr="00E81439">
        <w:rPr>
          <w:rFonts w:cs="Abz-2 (Badr)"/>
          <w:spacing w:val="-2"/>
          <w:sz w:val="28"/>
          <w:szCs w:val="28"/>
          <w:rtl/>
        </w:rPr>
        <w:lastRenderedPageBreak/>
        <w:t>من ذلك انتفاء الحكم عن المستثنى، وإلّا لم يتحقّق معنى الانحصار. وهذا المعنى مستفاد من منطوق الكلام لا من مفهومه؛ إذ قد تقرّر سابقاً أنّ اللوازم المستفادة من مدلول الألفاظ المطابقي لا تعدّ من المفاهيم</w:t>
      </w:r>
      <w:r>
        <w:rPr>
          <w:rFonts w:cs="Abz-2 (Badr)" w:hint="cs"/>
          <w:spacing w:val="-2"/>
          <w:sz w:val="28"/>
          <w:szCs w:val="28"/>
          <w:rtl/>
        </w:rPr>
        <w:t>.</w:t>
      </w:r>
    </w:p>
    <w:p w14:paraId="6FE24334" w14:textId="77777777" w:rsidR="007973E5" w:rsidRDefault="007973E5" w:rsidP="007973E5">
      <w:pPr>
        <w:widowControl w:val="0"/>
        <w:bidi/>
        <w:spacing w:after="0" w:line="259" w:lineRule="auto"/>
        <w:ind w:firstLine="284"/>
        <w:jc w:val="both"/>
        <w:rPr>
          <w:rFonts w:cs="Abz-2 (Badr)"/>
          <w:spacing w:val="-2"/>
          <w:sz w:val="28"/>
          <w:szCs w:val="28"/>
          <w:rtl/>
        </w:rPr>
      </w:pPr>
      <w:r w:rsidRPr="00C3604B">
        <w:rPr>
          <w:rFonts w:cs="Abz-2 (Badr)"/>
          <w:spacing w:val="-2"/>
          <w:sz w:val="28"/>
          <w:szCs w:val="28"/>
          <w:rtl/>
        </w:rPr>
        <w:t>وبناءً على ما تقدّم يتّضح الحكم في إفادة المفهوم بسائر أد</w:t>
      </w:r>
      <w:r>
        <w:rPr>
          <w:rFonts w:cs="Abz-2 (Badr)" w:hint="cs"/>
          <w:spacing w:val="-2"/>
          <w:sz w:val="28"/>
          <w:szCs w:val="28"/>
          <w:rtl/>
        </w:rPr>
        <w:t>و</w:t>
      </w:r>
      <w:r w:rsidRPr="00C3604B">
        <w:rPr>
          <w:rFonts w:cs="Abz-2 (Badr)"/>
          <w:spacing w:val="-2"/>
          <w:sz w:val="28"/>
          <w:szCs w:val="28"/>
          <w:rtl/>
        </w:rPr>
        <w:t>ا</w:t>
      </w:r>
      <w:r>
        <w:rPr>
          <w:rFonts w:cs="Abz-2 (Badr)" w:hint="cs"/>
          <w:spacing w:val="-2"/>
          <w:sz w:val="28"/>
          <w:szCs w:val="28"/>
          <w:rtl/>
        </w:rPr>
        <w:t>ت</w:t>
      </w:r>
      <w:r w:rsidRPr="00C3604B">
        <w:rPr>
          <w:rFonts w:cs="Abz-2 (Badr)"/>
          <w:spacing w:val="-2"/>
          <w:sz w:val="28"/>
          <w:szCs w:val="28"/>
          <w:rtl/>
        </w:rPr>
        <w:t xml:space="preserve"> الحصر كـ «إنّما»، فإنّ ما يستفاد منها من انتفاء الحكم عن غير المورد المحصور إنّما هو بمقتضى منطوقها لا بمفهومها</w:t>
      </w:r>
      <w:r>
        <w:rPr>
          <w:rFonts w:cs="Abz-2 (Badr)" w:hint="cs"/>
          <w:spacing w:val="-2"/>
          <w:sz w:val="28"/>
          <w:szCs w:val="28"/>
          <w:rtl/>
        </w:rPr>
        <w:t>.</w:t>
      </w:r>
    </w:p>
    <w:p w14:paraId="563922C4" w14:textId="77777777" w:rsidR="007973E5" w:rsidRDefault="007973E5" w:rsidP="007973E5">
      <w:pPr>
        <w:widowControl w:val="0"/>
        <w:bidi/>
        <w:spacing w:after="0" w:line="259" w:lineRule="auto"/>
        <w:ind w:firstLine="284"/>
        <w:jc w:val="both"/>
        <w:rPr>
          <w:rFonts w:cs="Abz-2 (Badr)"/>
          <w:spacing w:val="-2"/>
          <w:sz w:val="28"/>
          <w:szCs w:val="28"/>
          <w:rtl/>
        </w:rPr>
      </w:pPr>
      <w:r w:rsidRPr="00C3604B">
        <w:rPr>
          <w:rFonts w:cs="Abz-2 (Badr)"/>
          <w:spacing w:val="-2"/>
          <w:sz w:val="28"/>
          <w:szCs w:val="28"/>
          <w:rtl/>
        </w:rPr>
        <w:t xml:space="preserve">غير أنّه قد وقع الخلاف في </w:t>
      </w:r>
      <w:r>
        <w:rPr>
          <w:rFonts w:cs="Abz-2 (Badr)" w:hint="cs"/>
          <w:spacing w:val="-2"/>
          <w:sz w:val="28"/>
          <w:szCs w:val="28"/>
          <w:rtl/>
        </w:rPr>
        <w:t xml:space="preserve">عدّ </w:t>
      </w:r>
      <w:r w:rsidRPr="00C3604B">
        <w:rPr>
          <w:rFonts w:cs="Abz-2 (Badr)"/>
          <w:spacing w:val="-2"/>
          <w:sz w:val="28"/>
          <w:szCs w:val="28"/>
          <w:rtl/>
        </w:rPr>
        <w:t>بعض الألفاظ</w:t>
      </w:r>
      <w:r>
        <w:rPr>
          <w:rFonts w:cs="Abz-2 (Badr)" w:hint="cs"/>
          <w:spacing w:val="-2"/>
          <w:sz w:val="28"/>
          <w:szCs w:val="28"/>
          <w:rtl/>
        </w:rPr>
        <w:t xml:space="preserve"> </w:t>
      </w:r>
      <w:r w:rsidRPr="00C3604B">
        <w:rPr>
          <w:rFonts w:cs="Abz-2 (Badr)"/>
          <w:spacing w:val="-2"/>
          <w:sz w:val="28"/>
          <w:szCs w:val="28"/>
          <w:rtl/>
        </w:rPr>
        <w:t>من أد</w:t>
      </w:r>
      <w:r>
        <w:rPr>
          <w:rFonts w:cs="Abz-2 (Badr)" w:hint="cs"/>
          <w:spacing w:val="-2"/>
          <w:sz w:val="28"/>
          <w:szCs w:val="28"/>
          <w:rtl/>
        </w:rPr>
        <w:t>و</w:t>
      </w:r>
      <w:r w:rsidRPr="00C3604B">
        <w:rPr>
          <w:rFonts w:cs="Abz-2 (Badr)"/>
          <w:spacing w:val="-2"/>
          <w:sz w:val="28"/>
          <w:szCs w:val="28"/>
          <w:rtl/>
        </w:rPr>
        <w:t>ا</w:t>
      </w:r>
      <w:r>
        <w:rPr>
          <w:rFonts w:cs="Abz-2 (Badr)" w:hint="cs"/>
          <w:spacing w:val="-2"/>
          <w:sz w:val="28"/>
          <w:szCs w:val="28"/>
          <w:rtl/>
        </w:rPr>
        <w:t>ت</w:t>
      </w:r>
      <w:r w:rsidRPr="00C3604B">
        <w:rPr>
          <w:rFonts w:cs="Abz-2 (Badr)"/>
          <w:spacing w:val="-2"/>
          <w:sz w:val="28"/>
          <w:szCs w:val="28"/>
          <w:rtl/>
        </w:rPr>
        <w:t xml:space="preserve"> الحصر</w:t>
      </w:r>
      <w:r>
        <w:rPr>
          <w:rFonts w:cs="Abz-2 (Badr)" w:hint="cs"/>
          <w:spacing w:val="-2"/>
          <w:sz w:val="28"/>
          <w:szCs w:val="28"/>
          <w:rtl/>
        </w:rPr>
        <w:t>؛</w:t>
      </w:r>
      <w:r w:rsidRPr="00C3604B">
        <w:rPr>
          <w:rFonts w:cs="Abz-2 (Badr)"/>
          <w:spacing w:val="-2"/>
          <w:sz w:val="28"/>
          <w:szCs w:val="28"/>
          <w:rtl/>
        </w:rPr>
        <w:t xml:space="preserve"> وهذا البحث موكول إلى مباحث علم اللغة ولا يرتبط بالمقام الأ</w:t>
      </w:r>
      <w:r>
        <w:rPr>
          <w:rFonts w:cs="Abz-2 (Badr)" w:hint="cs"/>
          <w:spacing w:val="-2"/>
          <w:sz w:val="28"/>
          <w:szCs w:val="28"/>
          <w:rtl/>
        </w:rPr>
        <w:t>ُ</w:t>
      </w:r>
      <w:r w:rsidRPr="00C3604B">
        <w:rPr>
          <w:rFonts w:cs="Abz-2 (Badr)"/>
          <w:spacing w:val="-2"/>
          <w:sz w:val="28"/>
          <w:szCs w:val="28"/>
          <w:rtl/>
        </w:rPr>
        <w:t>صولي</w:t>
      </w:r>
      <w:r>
        <w:rPr>
          <w:rFonts w:cs="Abz-2 (Badr)" w:hint="cs"/>
          <w:spacing w:val="-2"/>
          <w:sz w:val="28"/>
          <w:szCs w:val="28"/>
          <w:rtl/>
        </w:rPr>
        <w:t>.</w:t>
      </w:r>
    </w:p>
    <w:p w14:paraId="68F7A339" w14:textId="77777777" w:rsidR="007973E5" w:rsidRDefault="007973E5" w:rsidP="007973E5">
      <w:pPr>
        <w:widowControl w:val="0"/>
        <w:bidi/>
        <w:spacing w:after="0" w:line="259" w:lineRule="auto"/>
        <w:ind w:firstLine="289"/>
        <w:jc w:val="both"/>
        <w:rPr>
          <w:rFonts w:cs="2  Mitra"/>
          <w:color w:val="0070C0"/>
          <w:sz w:val="28"/>
          <w:szCs w:val="28"/>
          <w:rtl/>
          <w:lang w:bidi="fa-IR"/>
        </w:rPr>
      </w:pPr>
      <w:r w:rsidRPr="00C3604B">
        <w:rPr>
          <w:rFonts w:cs="Abz-2 (Badr)"/>
          <w:spacing w:val="-2"/>
          <w:sz w:val="28"/>
          <w:szCs w:val="28"/>
          <w:rtl/>
        </w:rPr>
        <w:t>فمثلاً أشكل الشيخ في خصوص دعوى تبادر الحصر من لفظ «إنّما» حيث قال</w:t>
      </w:r>
      <w:r w:rsidRPr="00C3604B">
        <w:rPr>
          <w:rFonts w:cs="Abz-2 (Badr)" w:hint="cs"/>
          <w:spacing w:val="-2"/>
          <w:sz w:val="28"/>
          <w:szCs w:val="28"/>
          <w:rtl/>
        </w:rPr>
        <w:t>:</w:t>
      </w:r>
      <w:r>
        <w:rPr>
          <w:rFonts w:cs="2  Mitra" w:hint="cs"/>
          <w:sz w:val="28"/>
          <w:szCs w:val="28"/>
          <w:rtl/>
          <w:lang w:bidi="fa-IR"/>
        </w:rPr>
        <w:t xml:space="preserve"> </w:t>
      </w:r>
      <w:r w:rsidRPr="000F777A">
        <w:rPr>
          <w:rFonts w:cs="2  Mitra" w:hint="cs"/>
          <w:color w:val="0070C0"/>
          <w:sz w:val="28"/>
          <w:szCs w:val="28"/>
          <w:rtl/>
          <w:lang w:bidi="fa-IR"/>
        </w:rPr>
        <w:t>«</w:t>
      </w:r>
      <w:r w:rsidRPr="000F777A">
        <w:rPr>
          <w:rFonts w:cs="Abz-2 (Badr)" w:hint="cs"/>
          <w:color w:val="0070C0"/>
          <w:sz w:val="28"/>
          <w:szCs w:val="28"/>
          <w:rtl/>
          <w:lang w:bidi="fa-IR"/>
        </w:rPr>
        <w:t>الإنصاف أنّه لا سبيل لنا إلى ذلك؛ فإنّ موارد استعمال هذه اللفظة مختلفة، ولا يعلم بما هو مرادف لها في عرفنا حتّى يستكشف منها ما هو المتبادر منها، بخلاف ما هو بأيدينا من الألفاظ المترادفة قطعاً لبعض الكلمات العربيّة كما في أداة الشرط ونحوها.</w:t>
      </w:r>
      <w:r w:rsidRPr="000F777A">
        <w:rPr>
          <w:rFonts w:cs="2  Mitra" w:hint="cs"/>
          <w:color w:val="0070C0"/>
          <w:sz w:val="28"/>
          <w:szCs w:val="28"/>
          <w:rtl/>
          <w:lang w:bidi="fa-IR"/>
        </w:rPr>
        <w:t>»</w:t>
      </w:r>
      <w:r w:rsidRPr="00CF2BB6">
        <w:rPr>
          <w:rStyle w:val="FootnoteReference"/>
          <w:rFonts w:cs="2  Mitra"/>
          <w:spacing w:val="-2"/>
          <w:sz w:val="28"/>
          <w:szCs w:val="28"/>
          <w:rtl/>
        </w:rPr>
        <w:footnoteReference w:id="10"/>
      </w:r>
    </w:p>
    <w:p w14:paraId="7F3DC2BB" w14:textId="77777777" w:rsidR="007973E5" w:rsidRDefault="007973E5" w:rsidP="007973E5">
      <w:pPr>
        <w:widowControl w:val="0"/>
        <w:bidi/>
        <w:spacing w:after="0" w:line="259" w:lineRule="auto"/>
        <w:ind w:firstLine="289"/>
        <w:jc w:val="both"/>
        <w:rPr>
          <w:rFonts w:cs="Abz-2 (Badr)"/>
          <w:spacing w:val="-2"/>
          <w:sz w:val="28"/>
          <w:szCs w:val="28"/>
          <w:rtl/>
        </w:rPr>
      </w:pPr>
      <w:r>
        <w:rPr>
          <w:rFonts w:cs="Abz-2 (Badr)" w:hint="cs"/>
          <w:spacing w:val="-2"/>
          <w:sz w:val="28"/>
          <w:szCs w:val="28"/>
          <w:rtl/>
          <w:lang w:bidi="fa-IR"/>
        </w:rPr>
        <w:t xml:space="preserve">وفيه </w:t>
      </w:r>
      <w:r w:rsidRPr="00C3604B">
        <w:rPr>
          <w:rFonts w:cs="Abz-2 (Badr)"/>
          <w:spacing w:val="-2"/>
          <w:sz w:val="28"/>
          <w:szCs w:val="28"/>
          <w:rtl/>
        </w:rPr>
        <w:t>أوّلاً: إنّ لفظ «إنّما» في اللغة الفارسي</w:t>
      </w:r>
      <w:r>
        <w:rPr>
          <w:rFonts w:cs="Abz-2 (Badr)" w:hint="cs"/>
          <w:spacing w:val="-2"/>
          <w:sz w:val="28"/>
          <w:szCs w:val="28"/>
          <w:rtl/>
        </w:rPr>
        <w:t>ّ</w:t>
      </w:r>
      <w:r w:rsidRPr="00C3604B">
        <w:rPr>
          <w:rFonts w:cs="Abz-2 (Badr)"/>
          <w:spacing w:val="-2"/>
          <w:sz w:val="28"/>
          <w:szCs w:val="28"/>
          <w:rtl/>
        </w:rPr>
        <w:t>ة له ما يقابله وهو لفظ «تنها» المستعمل في معنى الحصر. نعم، قد يستعمل «إنّما» في العربيّة لمجرّد التأكيد من دون إفادة الحصر، ولكن ذلك لا يعني أنّه في الموارد التي استعمل فيها للحصر لا يمكن العثور على معادل له في سائر اللغات</w:t>
      </w:r>
      <w:r>
        <w:rPr>
          <w:rFonts w:cs="Abz-2 (Badr)" w:hint="cs"/>
          <w:spacing w:val="-2"/>
          <w:sz w:val="28"/>
          <w:szCs w:val="28"/>
          <w:rtl/>
        </w:rPr>
        <w:t>.</w:t>
      </w:r>
    </w:p>
    <w:p w14:paraId="7F6477E4" w14:textId="77777777" w:rsidR="007973E5" w:rsidRDefault="007973E5" w:rsidP="007973E5">
      <w:pPr>
        <w:widowControl w:val="0"/>
        <w:bidi/>
        <w:spacing w:after="0" w:line="259" w:lineRule="auto"/>
        <w:ind w:firstLine="289"/>
        <w:jc w:val="both"/>
        <w:rPr>
          <w:rFonts w:cs="Abz-2 (Badr)"/>
          <w:spacing w:val="-2"/>
          <w:sz w:val="28"/>
          <w:szCs w:val="28"/>
          <w:rtl/>
        </w:rPr>
      </w:pPr>
      <w:r w:rsidRPr="003E37B6">
        <w:rPr>
          <w:rFonts w:cs="Abz-2 (Badr)"/>
          <w:spacing w:val="-2"/>
          <w:sz w:val="28"/>
          <w:szCs w:val="28"/>
          <w:rtl/>
        </w:rPr>
        <w:t>ثانياً: كما أفاد المحقّق الخراساني</w:t>
      </w:r>
      <w:r w:rsidRPr="003E37B6">
        <w:rPr>
          <w:rStyle w:val="FootnoteReference"/>
          <w:rFonts w:cs="Abz-2 (Badr)"/>
          <w:spacing w:val="-2"/>
          <w:sz w:val="28"/>
          <w:szCs w:val="28"/>
          <w:rtl/>
        </w:rPr>
        <w:footnoteReference w:id="11"/>
      </w:r>
      <w:r w:rsidRPr="003E37B6">
        <w:rPr>
          <w:rFonts w:cs="Abz-2 (Badr)"/>
          <w:spacing w:val="-2"/>
          <w:sz w:val="28"/>
          <w:szCs w:val="28"/>
          <w:rtl/>
        </w:rPr>
        <w:t>، فإنّ كشف التبادر عند من لا يتكلّم بلغة ما لا يتوقّف على وجود مرادف لذلك اللفظ في لغته، بل يمكن التوصّل إليه بسؤال أهل تلك اللغة. بل الحقّ أنّ الاعتماد على المرادفات في سائر اللغات لا يصلح أن يكون ملاكاً في كشف التبادر؛ إذ ليس الترادف بمعنى تساوي الموضوع لهما من جميع الجهات، وإنّما هو تقارب في المعنى، ولأجل ذلك يقال: إنّه لا يمكن ترجمة أيّ لغة ترجمة تامّة م</w:t>
      </w:r>
      <w:r>
        <w:rPr>
          <w:rFonts w:cs="Abz-2 (Badr)" w:hint="cs"/>
          <w:spacing w:val="-2"/>
          <w:sz w:val="28"/>
          <w:szCs w:val="28"/>
          <w:rtl/>
        </w:rPr>
        <w:t>ا</w:t>
      </w:r>
      <w:r w:rsidRPr="003E37B6">
        <w:rPr>
          <w:rFonts w:cs="Abz-2 (Badr)"/>
          <w:spacing w:val="-2"/>
          <w:sz w:val="28"/>
          <w:szCs w:val="28"/>
          <w:rtl/>
        </w:rPr>
        <w:t>ئة بالم</w:t>
      </w:r>
      <w:r>
        <w:rPr>
          <w:rFonts w:cs="Abz-2 (Badr)" w:hint="cs"/>
          <w:spacing w:val="-2"/>
          <w:sz w:val="28"/>
          <w:szCs w:val="28"/>
          <w:rtl/>
        </w:rPr>
        <w:t>ا</w:t>
      </w:r>
      <w:r w:rsidRPr="003E37B6">
        <w:rPr>
          <w:rFonts w:cs="Abz-2 (Badr)"/>
          <w:spacing w:val="-2"/>
          <w:sz w:val="28"/>
          <w:szCs w:val="28"/>
          <w:rtl/>
        </w:rPr>
        <w:t>ئة إلى لغة أُخرى</w:t>
      </w:r>
      <w:r>
        <w:rPr>
          <w:rFonts w:cs="Abz-2 (Badr)" w:hint="cs"/>
          <w:spacing w:val="-2"/>
          <w:sz w:val="28"/>
          <w:szCs w:val="28"/>
          <w:rtl/>
        </w:rPr>
        <w:t>.</w:t>
      </w:r>
    </w:p>
    <w:p w14:paraId="4C585EB0" w14:textId="77777777" w:rsidR="007973E5" w:rsidRDefault="007973E5" w:rsidP="007973E5">
      <w:pPr>
        <w:widowControl w:val="0"/>
        <w:bidi/>
        <w:spacing w:after="0" w:line="259" w:lineRule="auto"/>
        <w:ind w:firstLine="289"/>
        <w:jc w:val="both"/>
        <w:rPr>
          <w:rFonts w:cs="Abz-2 (Badr)"/>
          <w:spacing w:val="-2"/>
          <w:sz w:val="28"/>
          <w:szCs w:val="28"/>
          <w:rtl/>
        </w:rPr>
      </w:pPr>
      <w:r>
        <w:rPr>
          <w:rFonts w:cs="Abz-2 (Badr)" w:hint="cs"/>
          <w:spacing w:val="-2"/>
          <w:sz w:val="28"/>
          <w:szCs w:val="28"/>
          <w:rtl/>
          <w:lang w:bidi="fa-IR"/>
        </w:rPr>
        <w:t>ثمّ إ</w:t>
      </w:r>
      <w:r w:rsidRPr="003E37B6">
        <w:rPr>
          <w:rFonts w:cs="Abz-2 (Badr)"/>
          <w:spacing w:val="-2"/>
          <w:sz w:val="28"/>
          <w:szCs w:val="28"/>
          <w:rtl/>
        </w:rPr>
        <w:t>نّه ينبغي الالتفات إلى أنّ الحصر قد يكون إضافي</w:t>
      </w:r>
      <w:r>
        <w:rPr>
          <w:rFonts w:cs="Abz-2 (Badr)" w:hint="cs"/>
          <w:spacing w:val="-2"/>
          <w:sz w:val="28"/>
          <w:szCs w:val="28"/>
          <w:rtl/>
        </w:rPr>
        <w:t>ّ</w:t>
      </w:r>
      <w:r w:rsidRPr="003E37B6">
        <w:rPr>
          <w:rFonts w:cs="Abz-2 (Badr)"/>
          <w:spacing w:val="-2"/>
          <w:sz w:val="28"/>
          <w:szCs w:val="28"/>
          <w:rtl/>
        </w:rPr>
        <w:t>اً وقد يكون حقيقي</w:t>
      </w:r>
      <w:r>
        <w:rPr>
          <w:rFonts w:cs="Abz-2 (Badr)" w:hint="cs"/>
          <w:spacing w:val="-2"/>
          <w:sz w:val="28"/>
          <w:szCs w:val="28"/>
          <w:rtl/>
        </w:rPr>
        <w:t>ّ</w:t>
      </w:r>
      <w:r w:rsidRPr="003E37B6">
        <w:rPr>
          <w:rFonts w:cs="Abz-2 (Badr)"/>
          <w:spacing w:val="-2"/>
          <w:sz w:val="28"/>
          <w:szCs w:val="28"/>
          <w:rtl/>
        </w:rPr>
        <w:t>اً. ففي الصورة الأ</w:t>
      </w:r>
      <w:r>
        <w:rPr>
          <w:rFonts w:cs="Abz-2 (Badr)" w:hint="cs"/>
          <w:spacing w:val="-2"/>
          <w:sz w:val="28"/>
          <w:szCs w:val="28"/>
          <w:rtl/>
        </w:rPr>
        <w:t>ُ</w:t>
      </w:r>
      <w:r w:rsidRPr="003E37B6">
        <w:rPr>
          <w:rFonts w:cs="Abz-2 (Badr)"/>
          <w:spacing w:val="-2"/>
          <w:sz w:val="28"/>
          <w:szCs w:val="28"/>
          <w:rtl/>
        </w:rPr>
        <w:t>ولى يكون نفي الحكم بواسطة أداة الحصر عن الأ</w:t>
      </w:r>
      <w:r>
        <w:rPr>
          <w:rFonts w:cs="Abz-2 (Badr)" w:hint="cs"/>
          <w:spacing w:val="-2"/>
          <w:sz w:val="28"/>
          <w:szCs w:val="28"/>
          <w:rtl/>
        </w:rPr>
        <w:t>ُ</w:t>
      </w:r>
      <w:r w:rsidRPr="003E37B6">
        <w:rPr>
          <w:rFonts w:cs="Abz-2 (Badr)"/>
          <w:spacing w:val="-2"/>
          <w:sz w:val="28"/>
          <w:szCs w:val="28"/>
          <w:rtl/>
        </w:rPr>
        <w:t>مور التي لوحظ الحصر بالنسبة إليها لا على نحو الإطلاق.</w:t>
      </w:r>
    </w:p>
    <w:p w14:paraId="75355F53" w14:textId="77777777" w:rsidR="007973E5" w:rsidRDefault="007973E5" w:rsidP="007973E5">
      <w:pPr>
        <w:widowControl w:val="0"/>
        <w:bidi/>
        <w:spacing w:after="0" w:line="259" w:lineRule="auto"/>
        <w:ind w:firstLine="289"/>
        <w:jc w:val="both"/>
        <w:rPr>
          <w:rFonts w:cs="Abz-2 (Badr)"/>
          <w:spacing w:val="-2"/>
          <w:sz w:val="28"/>
          <w:szCs w:val="28"/>
          <w:rtl/>
        </w:rPr>
      </w:pPr>
      <w:r w:rsidRPr="003E37B6">
        <w:rPr>
          <w:rFonts w:cs="Abz-2 (Badr)"/>
          <w:spacing w:val="-2"/>
          <w:sz w:val="28"/>
          <w:szCs w:val="28"/>
          <w:rtl/>
        </w:rPr>
        <w:t xml:space="preserve">وأمّا الحصر الحقيقي فقد يرد أحياناً على سبيل الادّعاء والمبالغة ـ كحصر الوصف بالموصوف في نحو: «إنّما العالم زيد» ـ </w:t>
      </w:r>
      <w:r w:rsidRPr="003E37B6">
        <w:rPr>
          <w:rFonts w:cs="Abz-2 (Badr)"/>
          <w:spacing w:val="-2"/>
          <w:sz w:val="28"/>
          <w:szCs w:val="28"/>
          <w:rtl/>
        </w:rPr>
        <w:lastRenderedPageBreak/>
        <w:t>فإنّه وإن أفاد نفي الحكم عن غير المحصور فيه، إلّا أنّ هذا النفي ـ كالحصر نفسه ـ ادّعائي</w:t>
      </w:r>
      <w:r>
        <w:rPr>
          <w:rFonts w:cs="Abz-2 (Badr)" w:hint="cs"/>
          <w:spacing w:val="-2"/>
          <w:sz w:val="28"/>
          <w:szCs w:val="28"/>
          <w:rtl/>
        </w:rPr>
        <w:t>.</w:t>
      </w:r>
    </w:p>
    <w:p w14:paraId="1B96E7BE" w14:textId="77777777" w:rsidR="007973E5" w:rsidRPr="0006796C" w:rsidRDefault="007973E5" w:rsidP="007973E5">
      <w:pPr>
        <w:widowControl w:val="0"/>
        <w:bidi/>
        <w:spacing w:after="0" w:line="259" w:lineRule="auto"/>
        <w:ind w:firstLine="289"/>
        <w:jc w:val="both"/>
        <w:rPr>
          <w:rFonts w:cs="Abz-2 (Badr)"/>
          <w:spacing w:val="-2"/>
          <w:sz w:val="28"/>
          <w:szCs w:val="28"/>
          <w:rtl/>
          <w:lang w:bidi="fa-IR"/>
        </w:rPr>
      </w:pPr>
      <w:r w:rsidRPr="00794A50">
        <w:rPr>
          <w:rFonts w:cs="Abz-2 (Badr)"/>
          <w:spacing w:val="-2"/>
          <w:sz w:val="28"/>
          <w:szCs w:val="28"/>
          <w:rtl/>
        </w:rPr>
        <w:t>وبهذا يتمّ البحث في المفاهيم وسنشرع من الجلسة القادمة ـ إن شاء الله تعالى ـ في مبحث «العام</w:t>
      </w:r>
      <w:r>
        <w:rPr>
          <w:rFonts w:cs="Abz-2 (Badr)" w:hint="cs"/>
          <w:spacing w:val="-2"/>
          <w:sz w:val="28"/>
          <w:szCs w:val="28"/>
          <w:rtl/>
        </w:rPr>
        <w:t>ّ</w:t>
      </w:r>
      <w:r w:rsidRPr="00794A50">
        <w:rPr>
          <w:rFonts w:cs="Abz-2 (Badr)"/>
          <w:spacing w:val="-2"/>
          <w:sz w:val="28"/>
          <w:szCs w:val="28"/>
          <w:rtl/>
        </w:rPr>
        <w:t xml:space="preserve"> والخاص</w:t>
      </w:r>
      <w:r>
        <w:rPr>
          <w:rFonts w:cs="Abz-2 (Badr)" w:hint="cs"/>
          <w:spacing w:val="-2"/>
          <w:sz w:val="28"/>
          <w:szCs w:val="28"/>
          <w:rtl/>
        </w:rPr>
        <w:t>ّ».</w:t>
      </w:r>
    </w:p>
    <w:p w14:paraId="7D9979DE" w14:textId="26D41A3F" w:rsidR="001B24FC" w:rsidRPr="007973E5" w:rsidRDefault="001B24FC" w:rsidP="007973E5">
      <w:pPr>
        <w:rPr>
          <w:rtl/>
        </w:rPr>
      </w:pPr>
    </w:p>
    <w:sectPr w:rsidR="001B24FC" w:rsidRPr="007973E5"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4F4FD" w14:textId="77777777" w:rsidR="008A21A5" w:rsidRDefault="008A21A5" w:rsidP="00C336C5">
      <w:pPr>
        <w:spacing w:after="0" w:line="240" w:lineRule="auto"/>
      </w:pPr>
      <w:r>
        <w:separator/>
      </w:r>
    </w:p>
  </w:endnote>
  <w:endnote w:type="continuationSeparator" w:id="0">
    <w:p w14:paraId="27E023B8" w14:textId="77777777" w:rsidR="008A21A5" w:rsidRDefault="008A21A5" w:rsidP="00C336C5">
      <w:pPr>
        <w:spacing w:after="0" w:line="240" w:lineRule="auto"/>
      </w:pPr>
      <w:r>
        <w:continuationSeparator/>
      </w:r>
    </w:p>
  </w:endnote>
  <w:endnote w:type="continuationNotice" w:id="1">
    <w:p w14:paraId="5C693C7F" w14:textId="77777777" w:rsidR="008A21A5" w:rsidRDefault="008A21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68E6C" w14:textId="77777777" w:rsidR="008A21A5" w:rsidRDefault="008A21A5" w:rsidP="00C336C5">
      <w:pPr>
        <w:bidi/>
        <w:spacing w:after="0" w:line="240" w:lineRule="auto"/>
      </w:pPr>
      <w:r>
        <w:separator/>
      </w:r>
    </w:p>
  </w:footnote>
  <w:footnote w:type="continuationSeparator" w:id="0">
    <w:p w14:paraId="3ADDEE48" w14:textId="77777777" w:rsidR="008A21A5" w:rsidRDefault="008A21A5" w:rsidP="00C336C5">
      <w:pPr>
        <w:spacing w:after="0" w:line="240" w:lineRule="auto"/>
      </w:pPr>
      <w:r>
        <w:continuationSeparator/>
      </w:r>
    </w:p>
  </w:footnote>
  <w:footnote w:type="continuationNotice" w:id="1">
    <w:p w14:paraId="15421C38" w14:textId="77777777" w:rsidR="008A21A5" w:rsidRDefault="008A21A5">
      <w:pPr>
        <w:spacing w:after="0" w:line="240" w:lineRule="auto"/>
      </w:pPr>
    </w:p>
  </w:footnote>
  <w:footnote w:id="2">
    <w:p w14:paraId="07452FC8"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کفاية الأُصول،ص211</w:t>
      </w:r>
      <w:r w:rsidRPr="00352C37">
        <w:rPr>
          <w:rFonts w:cs="Abz-2 (Badr)" w:hint="cs"/>
          <w:rtl/>
          <w:lang w:bidi="fa-IR"/>
        </w:rPr>
        <w:t>.</w:t>
      </w:r>
    </w:p>
  </w:footnote>
  <w:footnote w:id="3">
    <w:p w14:paraId="0446B146"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نهاية الأفکار،ج2،ص501</w:t>
      </w:r>
      <w:r w:rsidRPr="00352C37">
        <w:rPr>
          <w:rFonts w:cs="Abz-2 (Badr)" w:hint="cs"/>
          <w:rtl/>
          <w:lang w:bidi="fa-IR"/>
        </w:rPr>
        <w:t>.</w:t>
      </w:r>
    </w:p>
  </w:footnote>
  <w:footnote w:id="4">
    <w:p w14:paraId="270B84F3"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أجود التقريرات،ج1،ص438</w:t>
      </w:r>
      <w:r w:rsidRPr="00352C37">
        <w:rPr>
          <w:rFonts w:cs="Abz-2 (Badr)" w:hint="cs"/>
          <w:rtl/>
          <w:lang w:bidi="fa-IR"/>
        </w:rPr>
        <w:t>.</w:t>
      </w:r>
    </w:p>
  </w:footnote>
  <w:footnote w:id="5">
    <w:p w14:paraId="7FF832CB"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مطارح الأنظار،ج2،ص110</w:t>
      </w:r>
      <w:r w:rsidRPr="00352C37">
        <w:rPr>
          <w:rFonts w:cs="Abz-2 (Badr)" w:hint="cs"/>
          <w:rtl/>
          <w:lang w:bidi="fa-IR"/>
        </w:rPr>
        <w:t>.</w:t>
      </w:r>
    </w:p>
  </w:footnote>
  <w:footnote w:id="6">
    <w:p w14:paraId="6FC191C0"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کفاية الأُصول،ص211</w:t>
      </w:r>
      <w:r w:rsidRPr="00352C37">
        <w:rPr>
          <w:rFonts w:cs="Abz-2 (Badr)" w:hint="cs"/>
          <w:rtl/>
          <w:lang w:bidi="fa-IR"/>
        </w:rPr>
        <w:t>.</w:t>
      </w:r>
    </w:p>
  </w:footnote>
  <w:footnote w:id="7">
    <w:p w14:paraId="70016444"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کفاية الأُصول،ص211</w:t>
      </w:r>
      <w:r w:rsidRPr="00352C37">
        <w:rPr>
          <w:rFonts w:cs="Abz-2 (Badr)" w:hint="cs"/>
          <w:rtl/>
          <w:lang w:bidi="fa-IR"/>
        </w:rPr>
        <w:t>.</w:t>
      </w:r>
    </w:p>
  </w:footnote>
  <w:footnote w:id="8">
    <w:p w14:paraId="007065BD"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نهاية الأفکار،ج2،ص501</w:t>
      </w:r>
      <w:r w:rsidRPr="00352C37">
        <w:rPr>
          <w:rFonts w:cs="Abz-2 (Badr)" w:hint="cs"/>
          <w:rtl/>
          <w:lang w:bidi="fa-IR"/>
        </w:rPr>
        <w:t>.</w:t>
      </w:r>
    </w:p>
  </w:footnote>
  <w:footnote w:id="9">
    <w:p w14:paraId="72FBBFD3"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أجود التقريرات،ج1،ص438</w:t>
      </w:r>
      <w:r w:rsidRPr="00352C37">
        <w:rPr>
          <w:rFonts w:cs="Abz-2 (Badr)" w:hint="cs"/>
          <w:rtl/>
          <w:lang w:bidi="fa-IR"/>
        </w:rPr>
        <w:t>.</w:t>
      </w:r>
    </w:p>
  </w:footnote>
  <w:footnote w:id="10">
    <w:p w14:paraId="3EFAFC63"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مطارح الأنظار،ج2،ص110</w:t>
      </w:r>
      <w:r w:rsidRPr="00352C37">
        <w:rPr>
          <w:rFonts w:cs="Abz-2 (Badr)" w:hint="cs"/>
          <w:rtl/>
          <w:lang w:bidi="fa-IR"/>
        </w:rPr>
        <w:t>.</w:t>
      </w:r>
    </w:p>
  </w:footnote>
  <w:footnote w:id="11">
    <w:p w14:paraId="3DB13536" w14:textId="77777777" w:rsidR="007973E5" w:rsidRPr="00352C37" w:rsidRDefault="007973E5" w:rsidP="007973E5">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کفاية الأُصول،ص211</w:t>
      </w:r>
      <w:r w:rsidRPr="00352C37">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5513829C" w:rsidR="008666ED" w:rsidRDefault="008666ED" w:rsidP="008666ED">
                          <w:pPr>
                            <w:bidi/>
                          </w:pPr>
                          <w:r>
                            <w:rPr>
                              <w:rFonts w:cs="B Mehr" w:hint="cs"/>
                              <w:rtl/>
                            </w:rPr>
                            <w:t xml:space="preserve">تاریخ :  </w:t>
                          </w:r>
                          <w:r w:rsidR="007973E5">
                            <w:rPr>
                              <w:rFonts w:cs="B Mehr" w:hint="cs"/>
                              <w:rtl/>
                              <w:lang w:bidi="fa-IR"/>
                            </w:rPr>
                            <w:t>چهار</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973E5">
                            <w:rPr>
                              <w:rFonts w:cs="B Mehr" w:hint="cs"/>
                              <w:rtl/>
                              <w:lang w:bidi="fa-IR"/>
                            </w:rPr>
                            <w:t>9</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5513829C" w:rsidR="008666ED" w:rsidRDefault="008666ED" w:rsidP="008666ED">
                    <w:pPr>
                      <w:bidi/>
                    </w:pPr>
                    <w:r>
                      <w:rPr>
                        <w:rFonts w:cs="B Mehr" w:hint="cs"/>
                        <w:rtl/>
                      </w:rPr>
                      <w:t xml:space="preserve">تاریخ :  </w:t>
                    </w:r>
                    <w:r w:rsidR="007973E5">
                      <w:rPr>
                        <w:rFonts w:cs="B Mehr" w:hint="cs"/>
                        <w:rtl/>
                        <w:lang w:bidi="fa-IR"/>
                      </w:rPr>
                      <w:t>چهار</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973E5">
                      <w:rPr>
                        <w:rFonts w:cs="B Mehr" w:hint="cs"/>
                        <w:rtl/>
                        <w:lang w:bidi="fa-IR"/>
                      </w:rPr>
                      <w:t>9</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4098</TotalTime>
  <Pages>6</Pages>
  <Words>1160</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1194</cp:revision>
  <cp:lastPrinted>2025-04-15T09:36:00Z</cp:lastPrinted>
  <dcterms:created xsi:type="dcterms:W3CDTF">2022-10-16T08:36:00Z</dcterms:created>
  <dcterms:modified xsi:type="dcterms:W3CDTF">2025-10-02T10:33:00Z</dcterms:modified>
</cp:coreProperties>
</file>