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ECCC2" w14:textId="77777777" w:rsidR="009B4343" w:rsidRDefault="009B4343" w:rsidP="009B4343">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3041FC07" w14:textId="77777777" w:rsidR="009B4343" w:rsidRDefault="009B4343" w:rsidP="009B4343">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6E6E724E" w14:textId="77777777" w:rsidR="009B4343" w:rsidRDefault="009B4343" w:rsidP="009B4343">
      <w:pPr>
        <w:widowControl w:val="0"/>
        <w:bidi/>
        <w:spacing w:after="240"/>
        <w:jc w:val="center"/>
        <w:rPr>
          <w:rFonts w:cs="B Mitra" w:hint="cs"/>
          <w:b/>
          <w:bCs/>
          <w:sz w:val="32"/>
          <w:szCs w:val="32"/>
          <w:rtl/>
          <w:lang w:bidi="fa-IR"/>
        </w:rPr>
      </w:pPr>
      <w:r>
        <w:rPr>
          <w:rFonts w:cs="B Mitra" w:hint="cs"/>
          <w:b/>
          <w:bCs/>
          <w:sz w:val="32"/>
          <w:szCs w:val="32"/>
          <w:rtl/>
          <w:lang w:bidi="fa-IR"/>
        </w:rPr>
        <w:t>جلسه 941</w:t>
      </w:r>
    </w:p>
    <w:bookmarkEnd w:id="0"/>
    <w:p w14:paraId="1E240B68" w14:textId="77777777" w:rsidR="009B4343" w:rsidRDefault="009B4343" w:rsidP="009B4343">
      <w:pPr>
        <w:widowControl w:val="0"/>
        <w:bidi/>
        <w:spacing w:before="240" w:line="261" w:lineRule="auto"/>
        <w:ind w:firstLine="289"/>
        <w:jc w:val="both"/>
        <w:rPr>
          <w:rFonts w:cs="2  Mitra" w:hint="cs"/>
          <w:sz w:val="28"/>
          <w:szCs w:val="28"/>
          <w:rtl/>
        </w:rPr>
      </w:pPr>
      <w:r>
        <w:rPr>
          <w:rFonts w:cs="2  Mitra" w:hint="cs"/>
          <w:sz w:val="28"/>
          <w:szCs w:val="28"/>
          <w:rtl/>
        </w:rPr>
        <w:t>اشکالی که در خصوص مدخليت منطوقی و مفهومی بودن دلالت الفاظ در تقديم و تأخير آنها در مقام تعارض بود را جلسه قبل مطرح کرديم.</w:t>
      </w:r>
    </w:p>
    <w:p w14:paraId="67D64C00" w14:textId="77777777" w:rsidR="009B4343" w:rsidRDefault="009B4343" w:rsidP="009B4343">
      <w:pPr>
        <w:widowControl w:val="0"/>
        <w:bidi/>
        <w:spacing w:before="240" w:line="261" w:lineRule="auto"/>
        <w:ind w:firstLine="289"/>
        <w:jc w:val="both"/>
        <w:rPr>
          <w:rFonts w:cs="2  Mitra" w:hint="cs"/>
          <w:sz w:val="28"/>
          <w:szCs w:val="28"/>
          <w:rtl/>
        </w:rPr>
      </w:pPr>
      <w:r>
        <w:rPr>
          <w:rFonts w:cs="2  Mitra" w:hint="cs"/>
          <w:sz w:val="28"/>
          <w:szCs w:val="28"/>
          <w:rtl/>
        </w:rPr>
        <w:t>اما پاسخ اشکال مذکور اين است که اگرچه نمی</w:t>
      </w:r>
      <w:r>
        <w:rPr>
          <w:rFonts w:cs="2  Mitra" w:hint="cs"/>
          <w:sz w:val="28"/>
          <w:szCs w:val="28"/>
          <w:rtl/>
        </w:rPr>
        <w:softHyphen/>
        <w:t>توان به مجرّد اين که مدلولی مستفاد از منطوق کلام است، آن را بر مدلول مفهومی کلام ديگر مقدم دانست، اما شکی نيست که مفهومی يا منطوقی بودن مدلول در تقديم آن بر مدلول کلام ديگر دخيل است.</w:t>
      </w:r>
    </w:p>
    <w:p w14:paraId="232E972F" w14:textId="77777777" w:rsidR="009B4343" w:rsidRDefault="009B4343" w:rsidP="009B4343">
      <w:pPr>
        <w:widowControl w:val="0"/>
        <w:bidi/>
        <w:spacing w:before="240" w:line="261" w:lineRule="auto"/>
        <w:ind w:firstLine="289"/>
        <w:jc w:val="both"/>
        <w:rPr>
          <w:rFonts w:cs="Arial" w:hint="cs"/>
          <w:sz w:val="28"/>
          <w:szCs w:val="28"/>
          <w:rtl/>
        </w:rPr>
      </w:pPr>
      <w:r>
        <w:rPr>
          <w:rFonts w:cs="2  Mitra" w:hint="cs"/>
          <w:sz w:val="28"/>
          <w:szCs w:val="28"/>
          <w:rtl/>
        </w:rPr>
        <w:t>به عبارت ديگر: يکی از اموری که سبب می</w:t>
      </w:r>
      <w:r>
        <w:rPr>
          <w:rFonts w:cs="2  Mitra" w:hint="cs"/>
          <w:sz w:val="28"/>
          <w:szCs w:val="28"/>
          <w:rtl/>
        </w:rPr>
        <w:softHyphen/>
        <w:t>شود مدلول کلام بر مدلول لفظی ديگر تقدم پيدا کند، منطوقی بودن آن در برابر مفهومی بودن مدلول ديگر است، هرچند اين مطلب سبب نمی</w:t>
      </w:r>
      <w:r>
        <w:rPr>
          <w:rFonts w:cs="2  Mitra" w:hint="cs"/>
          <w:sz w:val="28"/>
          <w:szCs w:val="28"/>
          <w:rtl/>
        </w:rPr>
        <w:softHyphen/>
        <w:t>شود که امور ديگر در تقديم مدلول</w:t>
      </w:r>
      <w:r>
        <w:rPr>
          <w:rFonts w:cs="2  Mitra" w:hint="cs"/>
          <w:sz w:val="28"/>
          <w:szCs w:val="28"/>
          <w:rtl/>
        </w:rPr>
        <w:softHyphen/>
        <w:t>های الفاظ بی اثر گردند و ملاک تقديم مجرد منطوقی يا مفهومی بودن دلالت باشد.</w:t>
      </w:r>
    </w:p>
    <w:p w14:paraId="4D6AB13A" w14:textId="77777777" w:rsidR="009B4343" w:rsidRDefault="009B4343" w:rsidP="009B4343">
      <w:pPr>
        <w:widowControl w:val="0"/>
        <w:bidi/>
        <w:spacing w:before="240" w:line="261" w:lineRule="auto"/>
        <w:ind w:firstLine="289"/>
        <w:jc w:val="both"/>
        <w:rPr>
          <w:rFonts w:cs="2  Mitra"/>
          <w:spacing w:val="-2"/>
          <w:sz w:val="28"/>
          <w:szCs w:val="28"/>
          <w:rtl/>
          <w:lang w:bidi="fa-IR"/>
        </w:rPr>
      </w:pPr>
      <w:r>
        <w:rPr>
          <w:rFonts w:cs="2  Mitra" w:hint="cs"/>
          <w:spacing w:val="-2"/>
          <w:sz w:val="28"/>
          <w:szCs w:val="28"/>
          <w:rtl/>
        </w:rPr>
        <w:t>امّا مرحوم آیت‌الله روحانی تفاوت دیگری را برای این‌که معنای مربوط به مستثنى، منطوقی باشد یا مفهومی، بیان کرده‌اند</w:t>
      </w:r>
      <w:r>
        <w:rPr>
          <w:rFonts w:cs="2  Mitra" w:hint="cs"/>
          <w:spacing w:val="-2"/>
          <w:sz w:val="28"/>
          <w:szCs w:val="28"/>
          <w:rtl/>
          <w:lang w:bidi="fa-IR"/>
        </w:rPr>
        <w:t>.</w:t>
      </w:r>
    </w:p>
    <w:p w14:paraId="111DDF08" w14:textId="77777777" w:rsidR="009B4343" w:rsidRDefault="009B4343" w:rsidP="009B4343">
      <w:pPr>
        <w:widowControl w:val="0"/>
        <w:bidi/>
        <w:spacing w:before="240"/>
        <w:ind w:firstLine="289"/>
        <w:jc w:val="both"/>
        <w:rPr>
          <w:rFonts w:cs="2  Mitra" w:hint="cs"/>
          <w:spacing w:val="-2"/>
          <w:sz w:val="28"/>
          <w:szCs w:val="28"/>
          <w:rtl/>
          <w:lang w:bidi="fa-IR"/>
        </w:rPr>
      </w:pPr>
      <w:r>
        <w:rPr>
          <w:rFonts w:cs="2  Mitra" w:hint="cs"/>
          <w:spacing w:val="-2"/>
          <w:sz w:val="28"/>
          <w:szCs w:val="28"/>
          <w:rtl/>
        </w:rPr>
        <w:t>ایشان می‌فرمایند: اگر ثبوت حکم در مستثنى، از باب مفهوم و لازمه خصوصیتی باشد که برای حکم مستثنى‌منه ثابت است، در صورت شک در سعه و ضیق حکم مستثنى، نمی‌توان با تمسک به اطلاق حکم مستثنى، سعه‌ی آن را اثبات کرد؛ زیرا اطلاق، در مدلول التزامی معنا ندارد.</w:t>
      </w:r>
      <w:r>
        <w:rPr>
          <w:rFonts w:cs="2  Mitra" w:hint="cs"/>
          <w:spacing w:val="-2"/>
          <w:sz w:val="28"/>
          <w:szCs w:val="28"/>
          <w:lang w:bidi="fa-IR"/>
        </w:rPr>
        <w:t xml:space="preserve"> </w:t>
      </w:r>
      <w:r>
        <w:rPr>
          <w:rFonts w:cs="2  Mitra" w:hint="cs"/>
          <w:spacing w:val="-2"/>
          <w:sz w:val="28"/>
          <w:szCs w:val="28"/>
          <w:rtl/>
        </w:rPr>
        <w:t>همان‌گونه که با تمسک به اطلاق منطوق ملازم با آن نیز نمی‌توان ضیق آن را اثبات کرد؛ چون احتمال دارد خصوصیتی که در مستثنى‌منه وجود دارد، ملازمه با نفی اطلاق از مستثنى داشته باشد، نه ملازمه با نفی تک‌تک افراد مطلق. امّا اگر حکم مستثنى معنایی منطوقی باشد، می‌توان برای اثبات سعه‌ی آن به اطلاقش تمسک نمود</w:t>
      </w:r>
      <w:r>
        <w:rPr>
          <w:rFonts w:cs="2  Mitra" w:hint="cs"/>
          <w:spacing w:val="-2"/>
          <w:sz w:val="28"/>
          <w:szCs w:val="28"/>
          <w:rtl/>
          <w:lang w:bidi="fa-IR"/>
        </w:rPr>
        <w:t>.</w:t>
      </w:r>
    </w:p>
    <w:p w14:paraId="4201EB08" w14:textId="77777777" w:rsidR="009B4343" w:rsidRDefault="009B4343" w:rsidP="009B4343">
      <w:pPr>
        <w:widowControl w:val="0"/>
        <w:bidi/>
        <w:spacing w:before="240"/>
        <w:ind w:firstLine="289"/>
        <w:jc w:val="both"/>
        <w:rPr>
          <w:rFonts w:cs="2  Mitra" w:hint="cs"/>
          <w:spacing w:val="-2"/>
          <w:sz w:val="28"/>
          <w:szCs w:val="28"/>
          <w:rtl/>
        </w:rPr>
      </w:pPr>
      <w:r>
        <w:rPr>
          <w:rFonts w:cs="2  Mitra" w:hint="cs"/>
          <w:sz w:val="28"/>
          <w:szCs w:val="28"/>
          <w:rtl/>
        </w:rPr>
        <w:t>برای مثال در جمله‌ی: «</w:t>
      </w:r>
      <w:r>
        <w:rPr>
          <w:rFonts w:cs="Abz-2 (Badr)" w:hint="cs"/>
          <w:sz w:val="28"/>
          <w:szCs w:val="28"/>
          <w:rtl/>
        </w:rPr>
        <w:t>لا تعاد الصلاة إلا من خمسة...</w:t>
      </w:r>
      <w:r>
        <w:rPr>
          <w:rFonts w:cs="2  Mitra" w:hint="cs"/>
          <w:sz w:val="28"/>
          <w:szCs w:val="28"/>
          <w:rtl/>
        </w:rPr>
        <w:t>»</w:t>
      </w:r>
      <w:r>
        <w:rPr>
          <w:rStyle w:val="FootnoteReference"/>
          <w:rFonts w:cs="2  Mitra"/>
          <w:spacing w:val="-2"/>
          <w:sz w:val="28"/>
          <w:szCs w:val="28"/>
          <w:rtl/>
        </w:rPr>
        <w:footnoteReference w:id="2"/>
      </w:r>
      <w:r>
        <w:rPr>
          <w:rFonts w:cs="2  Mitra" w:hint="cs"/>
          <w:sz w:val="28"/>
          <w:szCs w:val="28"/>
          <w:rtl/>
        </w:rPr>
        <w:t xml:space="preserve"> اگر در ثبوت اعاده از جهت یکی از موارد پنج‌گانه شک شود، در صورتی که بگوییم ثبوت اعاده از باب مفهوم است، نه می‌توان با تمسک به اطلاق حکم مستثنى، عدم ثبوت اعاده را احراز </w:t>
      </w:r>
      <w:r>
        <w:rPr>
          <w:rFonts w:cs="2  Mitra" w:hint="cs"/>
          <w:sz w:val="28"/>
          <w:szCs w:val="28"/>
          <w:rtl/>
        </w:rPr>
        <w:lastRenderedPageBreak/>
        <w:t>کرد، و نه با تمسک به اطلاق حکم مستثنى‌منه، ثبوت اعاده را اثبات نمود؛ زیرا احتمال دارد استثناء، از حیث مجموع باشد نه از حیث تک‌تک افراد</w:t>
      </w:r>
      <w:r>
        <w:rPr>
          <w:rFonts w:cs="2  Mitra" w:hint="cs"/>
          <w:sz w:val="28"/>
          <w:szCs w:val="28"/>
          <w:rtl/>
          <w:lang w:bidi="fa-IR"/>
        </w:rPr>
        <w:t>.</w:t>
      </w:r>
      <w:r>
        <w:rPr>
          <w:rStyle w:val="FootnoteReference"/>
          <w:rFonts w:cs="2  Mitra"/>
          <w:spacing w:val="-2"/>
          <w:sz w:val="28"/>
          <w:szCs w:val="28"/>
          <w:rtl/>
        </w:rPr>
        <w:footnoteReference w:id="3"/>
      </w:r>
    </w:p>
    <w:p w14:paraId="5EA2636D" w14:textId="77777777" w:rsidR="009B4343" w:rsidRDefault="009B4343" w:rsidP="009B4343">
      <w:pPr>
        <w:widowControl w:val="0"/>
        <w:bidi/>
        <w:spacing w:before="240"/>
        <w:ind w:firstLine="289"/>
        <w:jc w:val="both"/>
        <w:rPr>
          <w:rFonts w:cs="2  Mitra" w:hint="cs"/>
          <w:spacing w:val="-2"/>
          <w:sz w:val="28"/>
          <w:szCs w:val="28"/>
          <w:rtl/>
        </w:rPr>
      </w:pPr>
      <w:r>
        <w:rPr>
          <w:rFonts w:cs="2  Mitra" w:hint="cs"/>
          <w:spacing w:val="-2"/>
          <w:sz w:val="28"/>
          <w:szCs w:val="28"/>
          <w:rtl/>
        </w:rPr>
        <w:t>امّا بر این مدّعا چند اشکال وارد است:</w:t>
      </w:r>
    </w:p>
    <w:p w14:paraId="16CD3E6B" w14:textId="77777777" w:rsidR="009B4343" w:rsidRDefault="009B4343" w:rsidP="009B4343">
      <w:pPr>
        <w:widowControl w:val="0"/>
        <w:bidi/>
        <w:spacing w:before="240"/>
        <w:ind w:firstLine="289"/>
        <w:jc w:val="both"/>
        <w:rPr>
          <w:rFonts w:cs="2  Mitra" w:hint="cs"/>
          <w:spacing w:val="-2"/>
          <w:sz w:val="28"/>
          <w:szCs w:val="28"/>
          <w:rtl/>
        </w:rPr>
      </w:pPr>
      <w:r>
        <w:rPr>
          <w:rFonts w:cs="2  Mitra" w:hint="cs"/>
          <w:spacing w:val="-2"/>
          <w:sz w:val="28"/>
          <w:szCs w:val="28"/>
          <w:rtl/>
        </w:rPr>
        <w:t>اولاً: تمسک به اطلاق مفهوم، هیچ مانعی ندارد؛ همان‌گونه که در مفهوم شرط نیز به اطلاق آن تمسک می‌شود.</w:t>
      </w:r>
    </w:p>
    <w:p w14:paraId="5AE03EF9" w14:textId="77777777" w:rsidR="009B4343" w:rsidRDefault="009B4343" w:rsidP="009B4343">
      <w:pPr>
        <w:widowControl w:val="0"/>
        <w:bidi/>
        <w:spacing w:before="240"/>
        <w:ind w:firstLine="289"/>
        <w:jc w:val="both"/>
        <w:rPr>
          <w:rFonts w:cs="2  Mitra" w:hint="cs"/>
          <w:spacing w:val="-2"/>
          <w:sz w:val="28"/>
          <w:szCs w:val="28"/>
          <w:rtl/>
        </w:rPr>
      </w:pPr>
      <w:r>
        <w:rPr>
          <w:rFonts w:cs="2  Mitra" w:hint="cs"/>
          <w:spacing w:val="-2"/>
          <w:sz w:val="28"/>
          <w:szCs w:val="28"/>
          <w:rtl/>
        </w:rPr>
        <w:t>ثانیاً: صرف این‌که معنایی مدلول التزامی لفظ باشد، موجب نمی‌شود که نتوان به اطلاق لفظ در آن مورد تمسک نمود؛ مثلاً اگر مولی به عبد بگوید: «</w:t>
      </w:r>
      <w:r>
        <w:rPr>
          <w:rFonts w:cs="Abz-2 (Badr)" w:hint="cs"/>
          <w:spacing w:val="-2"/>
          <w:sz w:val="28"/>
          <w:szCs w:val="28"/>
          <w:rtl/>
        </w:rPr>
        <w:t>جهّز لي هذا البيت</w:t>
      </w:r>
      <w:r>
        <w:rPr>
          <w:rFonts w:cs="2  Mitra" w:hint="cs"/>
          <w:spacing w:val="-2"/>
          <w:sz w:val="28"/>
          <w:szCs w:val="28"/>
          <w:rtl/>
        </w:rPr>
        <w:t>»، که لازمه‌اش این است که عبد لوازم مورد نیاز خانه را تهیه کند، چنانچه عبد در خصوص وسیله‌ای خاص شک کند که آیا خصوصیتی در آن مورد نظر مولی بوده است یا خیر، می‌تواند با تمسک به اطلاق کلام وی، آن خصوصیت را نفی نماید؛ و هیچ منعی از جریان مقدمات حکمت در این مورد وجود ندارد.</w:t>
      </w:r>
    </w:p>
    <w:p w14:paraId="67DCC7D2" w14:textId="77777777" w:rsidR="009B4343" w:rsidRDefault="009B4343" w:rsidP="009B4343">
      <w:pPr>
        <w:widowControl w:val="0"/>
        <w:bidi/>
        <w:spacing w:before="240"/>
        <w:ind w:firstLine="289"/>
        <w:jc w:val="both"/>
        <w:rPr>
          <w:rFonts w:cs="2  Mitra" w:hint="cs"/>
          <w:spacing w:val="-2"/>
          <w:sz w:val="28"/>
          <w:szCs w:val="28"/>
          <w:rtl/>
        </w:rPr>
      </w:pPr>
      <w:r>
        <w:rPr>
          <w:rFonts w:cs="2  Mitra" w:hint="cs"/>
          <w:spacing w:val="-2"/>
          <w:sz w:val="28"/>
          <w:szCs w:val="28"/>
          <w:rtl/>
        </w:rPr>
        <w:t>ثالثاً: آنچه در خصوص وجه عدم جواز تمسک به اطلاق حکم مستثنی منه بیان شده، مدعای تمامی نیست؛ زیرا ـ علاوه بر این‌که بر فرض تمامیت، تنها در جایی قابل التزام است که مستثنى مرکب از چند امر باشد نه یک امر واحد ـ حتی در فرض تعدد مستثنى نیز احتمال نمی‌رود که استثناء از حیث مجموع آن‌ها باشد نه از حیث تک‌تک افراد؛ وگرنه باید احتمال دهیم که اگر کسی به یکی از ارکان نماز خلل وارد کند و باقی ارکان را اتیان نماید، امر به اعاده شامل حال او نشود، در حالی‌که چنین احتمالی پذیرفتنی نیست.</w:t>
      </w:r>
    </w:p>
    <w:p w14:paraId="1BEABCAD" w14:textId="77777777" w:rsidR="009B4343" w:rsidRDefault="009B4343" w:rsidP="009B4343">
      <w:pPr>
        <w:rPr>
          <w:rFonts w:cs="2  Mitra" w:hint="cs"/>
          <w:spacing w:val="-2"/>
          <w:sz w:val="28"/>
          <w:szCs w:val="28"/>
          <w:rtl/>
        </w:rPr>
      </w:pPr>
      <w:r>
        <w:rPr>
          <w:rFonts w:cs="2  Mitra" w:hint="cs"/>
          <w:spacing w:val="-2"/>
          <w:sz w:val="28"/>
          <w:szCs w:val="28"/>
          <w:rtl/>
        </w:rPr>
        <w:br w:type="page"/>
      </w:r>
    </w:p>
    <w:p w14:paraId="1754F637" w14:textId="77777777" w:rsidR="009B4343" w:rsidRDefault="009B4343" w:rsidP="009B4343">
      <w:pPr>
        <w:widowControl w:val="0"/>
        <w:bidi/>
        <w:spacing w:after="0"/>
        <w:ind w:firstLine="289"/>
        <w:jc w:val="both"/>
        <w:rPr>
          <w:rFonts w:cs="Abz-2 (Badr)" w:hint="cs"/>
          <w:spacing w:val="-2"/>
          <w:sz w:val="28"/>
          <w:szCs w:val="28"/>
          <w:rtl/>
        </w:rPr>
      </w:pPr>
      <w:r>
        <w:rPr>
          <w:rFonts w:cs="Abz-2 (Badr)" w:hint="cs"/>
          <w:spacing w:val="-2"/>
          <w:sz w:val="28"/>
          <w:szCs w:val="28"/>
          <w:rtl/>
        </w:rPr>
        <w:lastRenderedPageBreak/>
        <w:t xml:space="preserve">قد طرحنا في الجلسة السابقة الإشكال المتعلّق بمدخليّة كون الدلالة منطوقيّة أو مفهوميّة في باب </w:t>
      </w:r>
      <w:r>
        <w:rPr>
          <w:rFonts w:cs="Abz-2 (Badr)" w:hint="cs"/>
          <w:spacing w:val="-2"/>
          <w:sz w:val="28"/>
          <w:szCs w:val="28"/>
          <w:rtl/>
          <w:lang w:bidi="fa-IR"/>
        </w:rPr>
        <w:t>التقديم</w:t>
      </w:r>
      <w:r>
        <w:rPr>
          <w:rFonts w:cs="Abz-2 (Badr)" w:hint="cs"/>
          <w:spacing w:val="-2"/>
          <w:sz w:val="28"/>
          <w:szCs w:val="28"/>
          <w:rtl/>
        </w:rPr>
        <w:t xml:space="preserve"> والتأخير عند التعارض.</w:t>
      </w:r>
    </w:p>
    <w:p w14:paraId="31766CC1" w14:textId="77777777" w:rsidR="009B4343" w:rsidRDefault="009B4343" w:rsidP="009B4343">
      <w:pPr>
        <w:widowControl w:val="0"/>
        <w:bidi/>
        <w:spacing w:after="0"/>
        <w:ind w:firstLine="289"/>
        <w:jc w:val="both"/>
        <w:rPr>
          <w:rFonts w:cs="Abz-2 (Badr)" w:hint="cs"/>
          <w:spacing w:val="-2"/>
          <w:sz w:val="28"/>
          <w:szCs w:val="28"/>
          <w:rtl/>
        </w:rPr>
      </w:pPr>
      <w:r>
        <w:rPr>
          <w:rFonts w:cs="Abz-2 (Badr)" w:hint="cs"/>
          <w:spacing w:val="-2"/>
          <w:sz w:val="28"/>
          <w:szCs w:val="28"/>
          <w:rtl/>
        </w:rPr>
        <w:t>وأمّا الجواب عن هذا الإشكال فهو أنّه وإن لم يجز أن يکون مجرّد كون المدلول مستفاداً من منطوق الكلام موجباً لتقديمه على مدلول آخر مستفاد من المفهوم، إلّا أنّه لا ريب في أنّ كون الدلالة منطوقيّة أو مفهوميّة له دخل في تقدّم أحد المدلولين على الآخر.</w:t>
      </w:r>
    </w:p>
    <w:p w14:paraId="2736FA9C" w14:textId="77777777" w:rsidR="009B4343" w:rsidRDefault="009B4343" w:rsidP="009B4343">
      <w:pPr>
        <w:widowControl w:val="0"/>
        <w:bidi/>
        <w:spacing w:after="0"/>
        <w:ind w:firstLine="289"/>
        <w:jc w:val="both"/>
        <w:rPr>
          <w:rFonts w:cs="Abz-2 (Badr)" w:hint="cs"/>
          <w:spacing w:val="-2"/>
          <w:sz w:val="28"/>
          <w:szCs w:val="28"/>
          <w:rtl/>
        </w:rPr>
      </w:pPr>
      <w:r>
        <w:rPr>
          <w:rFonts w:cs="Abz-2 (Badr)" w:hint="cs"/>
          <w:spacing w:val="-2"/>
          <w:sz w:val="28"/>
          <w:szCs w:val="28"/>
          <w:rtl/>
        </w:rPr>
        <w:t>وبعبارة أُخرى: إنّ من الأُمور التي تقتضي تقدّم مدلول كلام على مدلول كلام آخر أن يكون الأوّل منطوقاً في مقابل كون الثاني مفهوماً، وإن كان ذلك لا يعني إلغاء سائر العوامل المؤثّرة في باب التقديم بحيث يكون الملاك منحصراً في كون الدلالة منطوقيّة أو مفهوميّة فحسب.</w:t>
      </w:r>
    </w:p>
    <w:p w14:paraId="03390BFE" w14:textId="77777777" w:rsidR="009B4343" w:rsidRDefault="009B4343" w:rsidP="009B4343">
      <w:pPr>
        <w:widowControl w:val="0"/>
        <w:bidi/>
        <w:spacing w:after="0"/>
        <w:ind w:firstLine="289"/>
        <w:jc w:val="both"/>
        <w:rPr>
          <w:rFonts w:cs="Abz-2 (Badr)" w:hint="cs"/>
          <w:spacing w:val="-2"/>
          <w:sz w:val="28"/>
          <w:szCs w:val="28"/>
          <w:rtl/>
        </w:rPr>
      </w:pPr>
      <w:r>
        <w:rPr>
          <w:rFonts w:cs="Abz-2 (Badr)" w:hint="cs"/>
          <w:spacing w:val="-2"/>
          <w:sz w:val="28"/>
          <w:szCs w:val="28"/>
          <w:rtl/>
        </w:rPr>
        <w:t>وأمّا السيّد الروحاني فقد ذكر فرقاً آخر في أنّ الحكم الثابت للمستثنى هل هو من باب المنطوق أو من باب المفهوم فقال: إذا كان الحكم في جانب المستثنى من لوازم الخصوصيّة الثابتة لحكم المستثنى منه، فإنّه عند الشكّ في سعة حكم المستثنى أو ضيقه لا يصحّ التمسّك بإطلاق حكم المستثنى لإثبات سعته، لأنّ الإطلاق لا يجري في المدلول الالتزامي. كما لا يصحّ التمسّك بإطلاق المنطوق الملازم لإثبات الضيق أيضاً، لاحتمال أن تكون الخصوصيّة الثابتة في المستثنى منه ملازمة لنفي الإطلاق عن المستثنى، لا لنفي كلّ فرد من أفراد المطلق. وأمّا إذا كان الحكم في المستثنى مدلولاً منطوقيّاً، فيمكن حينئذٍ التمسّك بإطلاقه لإثبات سعته.</w:t>
      </w:r>
    </w:p>
    <w:p w14:paraId="3E8DB02B" w14:textId="77777777" w:rsidR="009B4343" w:rsidRDefault="009B4343" w:rsidP="009B4343">
      <w:pPr>
        <w:widowControl w:val="0"/>
        <w:bidi/>
        <w:spacing w:after="0"/>
        <w:ind w:firstLine="289"/>
        <w:jc w:val="both"/>
        <w:rPr>
          <w:rFonts w:cs="Abz-2 (Badr)" w:hint="cs"/>
          <w:spacing w:val="-2"/>
          <w:sz w:val="28"/>
          <w:szCs w:val="28"/>
          <w:rtl/>
        </w:rPr>
      </w:pPr>
      <w:r>
        <w:rPr>
          <w:rFonts w:cs="Abz-2 (Badr)" w:hint="cs"/>
          <w:spacing w:val="-2"/>
          <w:sz w:val="28"/>
          <w:szCs w:val="28"/>
          <w:rtl/>
        </w:rPr>
        <w:t>ومثال ذلك ما ورد في قوله(ع): «لا تعاد الصلاة إلّا من خمسة...»</w:t>
      </w:r>
      <w:r>
        <w:rPr>
          <w:rStyle w:val="FootnoteReference"/>
          <w:rFonts w:cs="2  Mitra"/>
          <w:spacing w:val="-2"/>
          <w:sz w:val="28"/>
          <w:szCs w:val="28"/>
          <w:rtl/>
        </w:rPr>
        <w:footnoteReference w:id="4"/>
      </w:r>
      <w:r>
        <w:rPr>
          <w:rFonts w:cs="Abz-2 (Badr)" w:hint="cs"/>
          <w:spacing w:val="-2"/>
          <w:sz w:val="28"/>
          <w:szCs w:val="28"/>
          <w:rtl/>
        </w:rPr>
        <w:t xml:space="preserve"> فإنّه إذا شكّ في ثبوت الإعادة من جهة أحد الأُمور الخمسة، فبناءً على كون ثبوت الإعادة من باب المفهوم، لا يمكن التمسّك بإطلاق حكم المستثنى لإحراز عدم وجوب الإعادة، ولا بإطلاق حكم المستثنى منه لإثبات وجوبها، لاحتمال أن يكون الاستثناء بلحاظ المجموع لا بلحاظ كلّ فرد فرد.</w:t>
      </w:r>
      <w:r>
        <w:rPr>
          <w:rStyle w:val="FootnoteReference"/>
          <w:rFonts w:cs="2  Mitra"/>
          <w:spacing w:val="-2"/>
          <w:sz w:val="28"/>
          <w:szCs w:val="28"/>
          <w:rtl/>
        </w:rPr>
        <w:footnoteReference w:id="5"/>
      </w:r>
    </w:p>
    <w:p w14:paraId="5CAC317F" w14:textId="77777777" w:rsidR="009B4343" w:rsidRDefault="009B4343" w:rsidP="009B4343">
      <w:pPr>
        <w:widowControl w:val="0"/>
        <w:bidi/>
        <w:spacing w:after="0"/>
        <w:ind w:firstLine="289"/>
        <w:jc w:val="both"/>
        <w:rPr>
          <w:rFonts w:cs="Abz-2 (Badr)" w:hint="cs"/>
          <w:spacing w:val="-2"/>
          <w:sz w:val="28"/>
          <w:szCs w:val="28"/>
          <w:rtl/>
        </w:rPr>
      </w:pPr>
      <w:r>
        <w:rPr>
          <w:rFonts w:cs="Abz-2 (Badr)" w:hint="cs"/>
          <w:spacing w:val="-2"/>
          <w:sz w:val="28"/>
          <w:szCs w:val="28"/>
          <w:rtl/>
        </w:rPr>
        <w:t>غير أنّ هذا المدّعى ترد عليه عدّة إيرادات:</w:t>
      </w:r>
    </w:p>
    <w:p w14:paraId="54F3B7BE" w14:textId="77777777" w:rsidR="009B4343" w:rsidRDefault="009B4343" w:rsidP="009B4343">
      <w:pPr>
        <w:widowControl w:val="0"/>
        <w:bidi/>
        <w:spacing w:after="0"/>
        <w:ind w:firstLine="289"/>
        <w:jc w:val="both"/>
        <w:rPr>
          <w:rFonts w:cs="Abz-2 (Badr)"/>
          <w:spacing w:val="-2"/>
          <w:sz w:val="28"/>
          <w:szCs w:val="28"/>
        </w:rPr>
      </w:pPr>
      <w:r>
        <w:rPr>
          <w:rFonts w:cs="Abz-2 (Badr)" w:hint="cs"/>
          <w:spacing w:val="-2"/>
          <w:sz w:val="28"/>
          <w:szCs w:val="28"/>
          <w:rtl/>
        </w:rPr>
        <w:t>أوّلاً: لا مانع من التمسّك بإطلاق المفهوم، كما هو الحال في مفهوم الشرط حيث يستدلّ بإطلاقه.</w:t>
      </w:r>
    </w:p>
    <w:p w14:paraId="24DCCF5D" w14:textId="77777777" w:rsidR="009B4343" w:rsidRDefault="009B4343" w:rsidP="009B4343">
      <w:pPr>
        <w:widowControl w:val="0"/>
        <w:bidi/>
        <w:spacing w:after="0"/>
        <w:ind w:firstLine="289"/>
        <w:jc w:val="both"/>
        <w:rPr>
          <w:rFonts w:cs="Abz-2 (Badr)"/>
          <w:spacing w:val="-2"/>
          <w:sz w:val="28"/>
          <w:szCs w:val="28"/>
        </w:rPr>
      </w:pPr>
      <w:r>
        <w:rPr>
          <w:rFonts w:cs="Abz-2 (Badr)" w:hint="cs"/>
          <w:spacing w:val="-2"/>
          <w:sz w:val="28"/>
          <w:szCs w:val="28"/>
          <w:rtl/>
        </w:rPr>
        <w:lastRenderedPageBreak/>
        <w:t>ثانياً: إنّ مجرّد كون المعنى مدلولاً التزاميّاً للّفظ لا يمنع من التمسّك بإطلاق اللفظ في ذلك المورد؛ فلو قال المولى لعبده: «جهّز لي هذا البيت» وكان لازمه أن يهيّئ العبد ما يحتاج إليه المنزل من لوازم، فلو شكّ في اعتبار خصوصيّة أداة معيّنة عند المولی، جاز نفي تلك الخصوصيّة بالتمسّك بإطلاق كلامه، ولا مانع حينئذ من جريان مقدّمات الحكمة.</w:t>
      </w:r>
    </w:p>
    <w:p w14:paraId="460BE65F" w14:textId="77777777" w:rsidR="009B4343" w:rsidRDefault="009B4343" w:rsidP="009B4343">
      <w:pPr>
        <w:widowControl w:val="0"/>
        <w:bidi/>
        <w:spacing w:after="0"/>
        <w:ind w:firstLine="289"/>
        <w:jc w:val="both"/>
        <w:rPr>
          <w:rFonts w:cs="Abz-2 (Badr)"/>
          <w:sz w:val="28"/>
          <w:szCs w:val="28"/>
        </w:rPr>
      </w:pPr>
      <w:r>
        <w:rPr>
          <w:rFonts w:cs="Abz-2 (Badr)" w:hint="cs"/>
          <w:spacing w:val="-2"/>
          <w:sz w:val="28"/>
          <w:szCs w:val="28"/>
          <w:rtl/>
        </w:rPr>
        <w:t>ثالثاً: إنّ ما قال في وجه عدم جواز التمسّك بإطلاق حكم المستثنى منه ليس تامّاً، إذ ـ مضافاً إلى أنّه لو تمّ فإنّما يلتزم به في فرض كون المستثنى مركّباً من أُمور متعدّدة لا في صورة كونه أمراً واحداً ـ فإنّه حتّی مع فرض التعدّد لا يحتمل أن يكون الاستثناء بلحاظ المجموع لا بلحاظ كلّ فرد فرد، وإلّا لزم أن يحتمل أنّ من أخلّ بركن من أركان الصلاة وأتى بسائر الأركان، لا يشمله الأمر بالإعادة، وهو احتمال غير مقبول.</w:t>
      </w:r>
    </w:p>
    <w:p w14:paraId="7D9979DE" w14:textId="26D41A3F" w:rsidR="001B24FC" w:rsidRPr="009B4343" w:rsidRDefault="001B24FC" w:rsidP="009B4343">
      <w:pPr>
        <w:rPr>
          <w:rtl/>
        </w:rPr>
      </w:pPr>
    </w:p>
    <w:sectPr w:rsidR="001B24FC" w:rsidRPr="009B4343"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31E12" w14:textId="77777777" w:rsidR="004B0CD0" w:rsidRDefault="004B0CD0" w:rsidP="00C336C5">
      <w:pPr>
        <w:spacing w:after="0" w:line="240" w:lineRule="auto"/>
      </w:pPr>
      <w:r>
        <w:separator/>
      </w:r>
    </w:p>
  </w:endnote>
  <w:endnote w:type="continuationSeparator" w:id="0">
    <w:p w14:paraId="58893A1A" w14:textId="77777777" w:rsidR="004B0CD0" w:rsidRDefault="004B0CD0" w:rsidP="00C336C5">
      <w:pPr>
        <w:spacing w:after="0" w:line="240" w:lineRule="auto"/>
      </w:pPr>
      <w:r>
        <w:continuationSeparator/>
      </w:r>
    </w:p>
  </w:endnote>
  <w:endnote w:type="continuationNotice" w:id="1">
    <w:p w14:paraId="0892F29D" w14:textId="77777777" w:rsidR="004B0CD0" w:rsidRDefault="004B0C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21BF" w14:textId="77777777" w:rsidR="009B4343" w:rsidRDefault="009B43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279E" w14:textId="77777777" w:rsidR="009B4343" w:rsidRDefault="009B43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07FD6" w14:textId="77777777" w:rsidR="004B0CD0" w:rsidRDefault="004B0CD0" w:rsidP="00C336C5">
      <w:pPr>
        <w:bidi/>
        <w:spacing w:after="0" w:line="240" w:lineRule="auto"/>
      </w:pPr>
      <w:r>
        <w:separator/>
      </w:r>
    </w:p>
  </w:footnote>
  <w:footnote w:type="continuationSeparator" w:id="0">
    <w:p w14:paraId="0488D63E" w14:textId="77777777" w:rsidR="004B0CD0" w:rsidRDefault="004B0CD0" w:rsidP="00C336C5">
      <w:pPr>
        <w:spacing w:after="0" w:line="240" w:lineRule="auto"/>
      </w:pPr>
      <w:r>
        <w:continuationSeparator/>
      </w:r>
    </w:p>
  </w:footnote>
  <w:footnote w:type="continuationNotice" w:id="1">
    <w:p w14:paraId="774B653A" w14:textId="77777777" w:rsidR="004B0CD0" w:rsidRDefault="004B0CD0">
      <w:pPr>
        <w:spacing w:after="0" w:line="240" w:lineRule="auto"/>
      </w:pPr>
    </w:p>
  </w:footnote>
  <w:footnote w:id="2">
    <w:p w14:paraId="51919E35" w14:textId="77777777" w:rsidR="009B4343" w:rsidRDefault="009B4343" w:rsidP="009B4343">
      <w:pPr>
        <w:pStyle w:val="FootnoteText"/>
        <w:bidi/>
        <w:jc w:val="left"/>
        <w:rPr>
          <w:rFonts w:cs="Abz-2 (Badr)" w:hint="cs"/>
          <w:rtl/>
          <w:lang w:bidi="fa-IR"/>
        </w:rPr>
      </w:pPr>
      <w:r>
        <w:rPr>
          <w:rFonts w:cs="Abz-2 (Badr)"/>
          <w:lang w:bidi="fa-IR"/>
        </w:rPr>
        <w:footnoteRef/>
      </w:r>
      <w:r>
        <w:rPr>
          <w:rFonts w:cs="Abz-2 (Badr)" w:hint="cs"/>
          <w:rtl/>
          <w:lang w:bidi="fa-IR"/>
        </w:rPr>
        <w:t xml:space="preserve"> ـ من لا يحضره الفقيه،ج1،ص279،ح857 ـ وسائل الشيعة، الباب 9 من أبواب القبلة،ح1،ج4،ص312.</w:t>
      </w:r>
    </w:p>
  </w:footnote>
  <w:footnote w:id="3">
    <w:p w14:paraId="5A6F2CF8" w14:textId="77777777" w:rsidR="009B4343" w:rsidRDefault="009B4343" w:rsidP="009B434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منتقی الأُصول،ج3،ص289 و 290.</w:t>
      </w:r>
    </w:p>
  </w:footnote>
  <w:footnote w:id="4">
    <w:p w14:paraId="761D1E80" w14:textId="77777777" w:rsidR="009B4343" w:rsidRDefault="009B4343" w:rsidP="009B434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من لا يحضره الفقيه،ج1،ص279،ح857 ـ وسائل الشيعة، الباب 9 من أبواب القبلة،ح1،ج4،ص312.</w:t>
      </w:r>
    </w:p>
  </w:footnote>
  <w:footnote w:id="5">
    <w:p w14:paraId="562810BB" w14:textId="77777777" w:rsidR="009B4343" w:rsidRDefault="009B4343" w:rsidP="009B434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منتقی الأُصول،ج3،ص289 و 290.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CB01D" w14:textId="77777777" w:rsidR="009B4343" w:rsidRDefault="009B43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6192EFE5" w:rsidR="008666ED" w:rsidRDefault="008666ED" w:rsidP="008666ED">
                          <w:pPr>
                            <w:bidi/>
                          </w:pPr>
                          <w:r>
                            <w:rPr>
                              <w:rFonts w:cs="B Mehr" w:hint="cs"/>
                              <w:rtl/>
                            </w:rPr>
                            <w:t xml:space="preserve">تاریخ :  </w:t>
                          </w:r>
                          <w:r w:rsidR="009B4343">
                            <w:rPr>
                              <w:rFonts w:cs="B Mehr" w:hint="cs"/>
                              <w:rtl/>
                              <w:lang w:bidi="fa-IR"/>
                            </w:rPr>
                            <w:t>سه</w:t>
                          </w:r>
                          <w:r w:rsidR="001F6F30">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9B4343">
                            <w:rPr>
                              <w:rFonts w:cs="B Mehr" w:hint="cs"/>
                              <w:rtl/>
                              <w:lang w:bidi="fa-IR"/>
                            </w:rPr>
                            <w:t>8</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77777777" w:rsidR="008666ED" w:rsidRDefault="008666ED" w:rsidP="008666ED">
                    <w:pPr>
                      <w:bidi/>
                      <w:rPr>
                        <w:rFonts w:cs="B Mehr"/>
                      </w:rPr>
                    </w:pPr>
                    <w:r>
                      <w:rPr>
                        <w:rFonts w:cs="B Mehr" w:hint="cs"/>
                        <w:rtl/>
                      </w:rPr>
                      <w:t xml:space="preserve"> مبحث:    مفاهیم</w:t>
                    </w:r>
                  </w:p>
                  <w:p w14:paraId="0C1AB1FE" w14:textId="6192EFE5" w:rsidR="008666ED" w:rsidRDefault="008666ED" w:rsidP="008666ED">
                    <w:pPr>
                      <w:bidi/>
                    </w:pPr>
                    <w:r>
                      <w:rPr>
                        <w:rFonts w:cs="B Mehr" w:hint="cs"/>
                        <w:rtl/>
                      </w:rPr>
                      <w:t xml:space="preserve">تاریخ :  </w:t>
                    </w:r>
                    <w:r w:rsidR="009B4343">
                      <w:rPr>
                        <w:rFonts w:cs="B Mehr" w:hint="cs"/>
                        <w:rtl/>
                        <w:lang w:bidi="fa-IR"/>
                      </w:rPr>
                      <w:t>سه</w:t>
                    </w:r>
                    <w:r w:rsidR="001F6F30">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9B4343">
                      <w:rPr>
                        <w:rFonts w:cs="B Mehr" w:hint="cs"/>
                        <w:rtl/>
                        <w:lang w:bidi="fa-IR"/>
                      </w:rPr>
                      <w:t>8</w:t>
                    </w:r>
                    <w:r w:rsidR="0094174A">
                      <w:rPr>
                        <w:rFonts w:cs="B Mehr" w:hint="cs"/>
                        <w:rtl/>
                        <w:lang w:bidi="fa-IR"/>
                      </w:rPr>
                      <w:t xml:space="preserve">   </w:t>
                    </w:r>
                    <w:r w:rsidR="00B2630B">
                      <w:rPr>
                        <w:rFonts w:cs="B Mehr" w:hint="cs"/>
                        <w:rtl/>
                        <w:lang w:bidi="fa-IR"/>
                      </w:rPr>
                      <w:t>مهر</w:t>
                    </w:r>
                    <w:r>
                      <w:rPr>
                        <w:rFonts w:cs="B Mehr" w:hint="cs"/>
                        <w:rtl/>
                      </w:rPr>
                      <w:t xml:space="preserve"> ماه - 1404ه.ش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EB8D" w14:textId="77777777" w:rsidR="009B4343" w:rsidRDefault="009B434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66CD"/>
    <w:rsid w:val="002D688D"/>
    <w:rsid w:val="002E0167"/>
    <w:rsid w:val="002E0803"/>
    <w:rsid w:val="002E11CF"/>
    <w:rsid w:val="002E228B"/>
    <w:rsid w:val="002E514A"/>
    <w:rsid w:val="002E5DFD"/>
    <w:rsid w:val="002E6148"/>
    <w:rsid w:val="002E6DCF"/>
    <w:rsid w:val="002E7556"/>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4097</TotalTime>
  <Pages>1</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1193</cp:revision>
  <cp:lastPrinted>2025-04-15T09:36:00Z</cp:lastPrinted>
  <dcterms:created xsi:type="dcterms:W3CDTF">2022-10-16T08:36:00Z</dcterms:created>
  <dcterms:modified xsi:type="dcterms:W3CDTF">2025-09-30T15:40:00Z</dcterms:modified>
</cp:coreProperties>
</file>