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15480" w14:textId="77777777" w:rsidR="00015B20" w:rsidRDefault="00015B20" w:rsidP="00015B20">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58536899" w14:textId="77777777" w:rsidR="00015B20" w:rsidRDefault="00015B20" w:rsidP="00015B20">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12E094F8" w14:textId="77777777" w:rsidR="00015B20" w:rsidRDefault="00015B20" w:rsidP="00015B20">
      <w:pPr>
        <w:widowControl w:val="0"/>
        <w:bidi/>
        <w:spacing w:after="240"/>
        <w:jc w:val="center"/>
        <w:rPr>
          <w:rFonts w:cs="B Mitra" w:hint="cs"/>
          <w:b/>
          <w:bCs/>
          <w:sz w:val="32"/>
          <w:szCs w:val="32"/>
          <w:rtl/>
          <w:lang w:bidi="fa-IR"/>
        </w:rPr>
      </w:pPr>
      <w:r>
        <w:rPr>
          <w:rFonts w:cs="B Mitra" w:hint="cs"/>
          <w:b/>
          <w:bCs/>
          <w:sz w:val="32"/>
          <w:szCs w:val="32"/>
          <w:rtl/>
          <w:lang w:bidi="fa-IR"/>
        </w:rPr>
        <w:t>جلسه 940</w:t>
      </w:r>
    </w:p>
    <w:bookmarkEnd w:id="0"/>
    <w:p w14:paraId="4CBFAA56" w14:textId="77777777" w:rsidR="00015B20" w:rsidRDefault="00015B20" w:rsidP="00015B20">
      <w:pPr>
        <w:widowControl w:val="0"/>
        <w:bidi/>
        <w:spacing w:before="240" w:line="252" w:lineRule="auto"/>
        <w:ind w:firstLine="289"/>
        <w:jc w:val="both"/>
        <w:rPr>
          <w:rFonts w:cs="2  Mitra" w:hint="cs"/>
          <w:sz w:val="28"/>
          <w:szCs w:val="28"/>
          <w:rtl/>
          <w:lang w:bidi="fa-IR"/>
        </w:rPr>
      </w:pPr>
      <w:r>
        <w:rPr>
          <w:rFonts w:cs="2  Mitra" w:hint="cs"/>
          <w:spacing w:val="-4"/>
          <w:sz w:val="28"/>
          <w:szCs w:val="28"/>
          <w:rtl/>
        </w:rPr>
        <w:t>آنچه که در توجيه مدعای شيخ می</w:t>
      </w:r>
      <w:r>
        <w:rPr>
          <w:rFonts w:cs="2  Mitra" w:hint="cs"/>
          <w:spacing w:val="-4"/>
          <w:sz w:val="28"/>
          <w:szCs w:val="28"/>
          <w:rtl/>
        </w:rPr>
        <w:softHyphen/>
        <w:t>توان بيان کرد اين است که مراد ايشان این است که لفظ توحید، همان‌گونه که بر نفی وجود فعلی معبودی غیر از خداوند متعال دلالت دارد، بر وجود فعلی «الله» متعال نیز دلالت می‌کند، و آنچه که بالملازمه از آن فهمیده می‌شود، نفی امکان وجودی خدایی جز «الله» است، نه نفی وجود فعلی آن؛ زیرا نفی وجود فعلی، مدلول مطابقی لفظ است. در این صورت، مدّعای ایشان مشابه با مدّعای مرحوم آخوند خواهد بود که در مقام دفع اشکال یادشده می‌فرمایند: مراد از «إله» در این عبارت، واجب‌الوجود است، و لفظ توحید دلالت دارد بر نفی ثبوت و وجود آن در خارج و اثبات تنها یک فرد از آن در خارج، که این امر بالملازمه بر عدم امکان غیر خداوند متعال نیز دلالت خواهد داشت؛ زیرا اگر ممتنع نباشد، حتماً موجود خواهد شد</w:t>
      </w:r>
      <w:r>
        <w:rPr>
          <w:rFonts w:cs="2  Mitra" w:hint="cs"/>
          <w:sz w:val="28"/>
          <w:szCs w:val="28"/>
          <w:rtl/>
        </w:rPr>
        <w:t>.</w:t>
      </w:r>
      <w:r>
        <w:rPr>
          <w:rStyle w:val="FootnoteReference"/>
          <w:rFonts w:cs="2  Mitra"/>
          <w:spacing w:val="-2"/>
          <w:sz w:val="28"/>
          <w:szCs w:val="28"/>
          <w:rtl/>
        </w:rPr>
        <w:footnoteReference w:id="2"/>
      </w:r>
    </w:p>
    <w:p w14:paraId="6FF68094" w14:textId="77777777" w:rsidR="00015B20" w:rsidRDefault="00015B20" w:rsidP="00015B20">
      <w:pPr>
        <w:widowControl w:val="0"/>
        <w:bidi/>
        <w:spacing w:before="240" w:line="252" w:lineRule="auto"/>
        <w:ind w:firstLine="289"/>
        <w:jc w:val="both"/>
        <w:rPr>
          <w:rFonts w:cs="2  Mitra" w:hint="cs"/>
          <w:sz w:val="28"/>
          <w:szCs w:val="28"/>
          <w:rtl/>
          <w:lang w:bidi="fa-IR"/>
        </w:rPr>
      </w:pPr>
      <w:r>
        <w:rPr>
          <w:rFonts w:cs="2  Mitra" w:hint="cs"/>
          <w:sz w:val="28"/>
          <w:szCs w:val="28"/>
          <w:rtl/>
          <w:lang w:bidi="fa-IR"/>
        </w:rPr>
        <w:t>اما همان گونه که مرحوم امام نيز فرموده</w:t>
      </w:r>
      <w:r>
        <w:rPr>
          <w:rFonts w:cs="2  Mitra" w:hint="cs"/>
          <w:sz w:val="28"/>
          <w:szCs w:val="28"/>
          <w:rtl/>
          <w:lang w:bidi="fa-IR"/>
        </w:rPr>
        <w:softHyphen/>
        <w:t>اند</w:t>
      </w:r>
      <w:r>
        <w:rPr>
          <w:rStyle w:val="FootnoteReference"/>
          <w:rFonts w:cs="2  Mitra"/>
          <w:spacing w:val="-2"/>
          <w:sz w:val="28"/>
          <w:szCs w:val="28"/>
          <w:rtl/>
        </w:rPr>
        <w:footnoteReference w:id="3"/>
      </w:r>
      <w:r>
        <w:rPr>
          <w:rFonts w:cs="2  Mitra" w:hint="cs"/>
          <w:sz w:val="28"/>
          <w:szCs w:val="28"/>
          <w:rtl/>
          <w:lang w:bidi="fa-IR"/>
        </w:rPr>
        <w:t xml:space="preserve">، اين گونه امور از دقایقی هستند که </w:t>
      </w:r>
      <w:r>
        <w:rPr>
          <w:rFonts w:cs="2  Mitra" w:hint="cs"/>
          <w:sz w:val="28"/>
          <w:szCs w:val="28"/>
          <w:rtl/>
        </w:rPr>
        <w:t>بر عموم مردم پوشیده است و نمی‌توان ادعا کرد که هر کسی که کلمه‌ی توحید را بر زبان جاری می‌کند، به این دقایق آگاه بوده و به آن ملتزم است</w:t>
      </w:r>
      <w:r>
        <w:rPr>
          <w:rFonts w:cs="2  Mitra" w:hint="cs"/>
          <w:sz w:val="28"/>
          <w:szCs w:val="28"/>
          <w:rtl/>
          <w:lang w:bidi="fa-IR"/>
        </w:rPr>
        <w:t>.</w:t>
      </w:r>
    </w:p>
    <w:p w14:paraId="5EAF97B6" w14:textId="77777777" w:rsidR="00015B20" w:rsidRDefault="00015B20" w:rsidP="00015B20">
      <w:pPr>
        <w:widowControl w:val="0"/>
        <w:bidi/>
        <w:spacing w:before="240" w:line="252" w:lineRule="auto"/>
        <w:ind w:firstLine="289"/>
        <w:jc w:val="both"/>
        <w:rPr>
          <w:rFonts w:cs="2  Mitra" w:hint="cs"/>
          <w:sz w:val="28"/>
          <w:szCs w:val="28"/>
          <w:rtl/>
          <w:lang w:bidi="fa-IR"/>
        </w:rPr>
      </w:pPr>
      <w:r>
        <w:rPr>
          <w:rFonts w:cs="2  Mitra" w:hint="cs"/>
          <w:sz w:val="28"/>
          <w:szCs w:val="28"/>
          <w:rtl/>
        </w:rPr>
        <w:t>بنابراین، باید گفت: آنچه اساس توحید را تشکیل می‌دهد، ایمان قلبی به وحدانیت خداوند متعال است، و بيان کلمه‌ی توحید، صرفاً اماره‌ای است که بر اساس آن، حکم به اسلامِ ظاهریِ گوینده می‌شود؛ بلکه شارع، سببیت آن را برای اسلام ظاهری حتی در مواردی که علم به عدم پذیرش مفاد آن از سوی گوینده وجود دارد نیز پذیرفته است، مانند برخی منافقان صدر اسلام که با وجود علم به نفاق آنان، رسول اکرم(ص) در ظاهر حکم اسلام را بر آنان جاری می‌ساختند. و آنچه برخی ادعا کرده‌اند، مبنی بر این‌که دلالت این عبارت بر موحّد بودن گوینده تعبدی است، ناشی از همین امر است</w:t>
      </w:r>
      <w:r>
        <w:rPr>
          <w:rFonts w:cs="2  Mitra" w:hint="cs"/>
          <w:sz w:val="28"/>
          <w:szCs w:val="28"/>
          <w:rtl/>
          <w:lang w:bidi="fa-IR"/>
        </w:rPr>
        <w:t>.</w:t>
      </w:r>
    </w:p>
    <w:p w14:paraId="115C1B54" w14:textId="77777777" w:rsidR="00015B20" w:rsidRDefault="00015B20" w:rsidP="00015B20">
      <w:pPr>
        <w:widowControl w:val="0"/>
        <w:bidi/>
        <w:spacing w:before="240" w:line="252" w:lineRule="auto"/>
        <w:ind w:firstLine="289"/>
        <w:jc w:val="both"/>
        <w:rPr>
          <w:rFonts w:cs="2  Mitra" w:hint="cs"/>
          <w:sz w:val="28"/>
          <w:szCs w:val="28"/>
          <w:rtl/>
        </w:rPr>
      </w:pPr>
      <w:r>
        <w:rPr>
          <w:rFonts w:cs="2  Mitra" w:hint="cs"/>
          <w:sz w:val="28"/>
          <w:szCs w:val="28"/>
          <w:rtl/>
        </w:rPr>
        <w:t xml:space="preserve">البته این اماریت منوط به آن است که کسی که آن را بر زبان جاری می‌کند، به معنای الفاظ آن آگاه باشد و بداند مقصود از آن چیست، و چون پیش از بر زبان آوردن کلمه‌ی توحید، معنای آن برای وی توضیح داده می‌شود، بعید نیست گفته شود که گوینده، بر اساس قرائن موجود پیش از اظهار این کلمه، می‌دانسته که چه معنایی از آن اراده شده است. از این رو نمی‌توان </w:t>
      </w:r>
      <w:r>
        <w:rPr>
          <w:rFonts w:cs="2  Mitra" w:hint="cs"/>
          <w:sz w:val="28"/>
          <w:szCs w:val="28"/>
          <w:rtl/>
        </w:rPr>
        <w:lastRenderedPageBreak/>
        <w:t>معنای مستفاد از آن را حجّتی بر افاده‌ی مفهوم توسط حرف استثناء دانست.</w:t>
      </w:r>
    </w:p>
    <w:p w14:paraId="159122CF" w14:textId="77777777" w:rsidR="00015B20" w:rsidRDefault="00015B20" w:rsidP="00015B20">
      <w:pPr>
        <w:widowControl w:val="0"/>
        <w:bidi/>
        <w:spacing w:before="240" w:line="252" w:lineRule="auto"/>
        <w:ind w:firstLine="289"/>
        <w:jc w:val="both"/>
        <w:rPr>
          <w:rFonts w:cs="2  Mitra" w:hint="cs"/>
          <w:sz w:val="28"/>
          <w:szCs w:val="28"/>
          <w:rtl/>
        </w:rPr>
      </w:pPr>
      <w:r>
        <w:rPr>
          <w:rFonts w:cs="2  Mitra" w:hint="cs"/>
          <w:sz w:val="28"/>
          <w:szCs w:val="28"/>
          <w:rtl/>
        </w:rPr>
        <w:t>امّا آخرین نکته‌ای که در خصوص حرف استثناء مطرح می‌شود، این است که آیا معنایی که در خصوص مستثنى از آن فهمیده می‌شود، بر اساس منطوق ادات استثناء است یا بر اساس مفهوم آن؟</w:t>
      </w:r>
    </w:p>
    <w:p w14:paraId="7BF12900" w14:textId="77777777" w:rsidR="00015B20" w:rsidRDefault="00015B20" w:rsidP="00015B20">
      <w:pPr>
        <w:widowControl w:val="0"/>
        <w:bidi/>
        <w:spacing w:before="240" w:line="252" w:lineRule="auto"/>
        <w:ind w:firstLine="289"/>
        <w:jc w:val="both"/>
        <w:rPr>
          <w:rFonts w:cs="2  Mitra" w:hint="cs"/>
          <w:sz w:val="28"/>
          <w:szCs w:val="28"/>
          <w:rtl/>
          <w:lang w:bidi="fa-IR"/>
        </w:rPr>
      </w:pPr>
      <w:r>
        <w:rPr>
          <w:rFonts w:cs="2  Mitra" w:hint="cs"/>
          <w:sz w:val="28"/>
          <w:szCs w:val="28"/>
          <w:rtl/>
        </w:rPr>
        <w:t>البته مرحوم شیخ و مرحوم آخوند تصریح کرده‌اند که دانستن این که این معنا از منطوق حرف استثناء استفاده می‌شود یا از مفهوم آن، ثمری در مقام عمل ندارد</w:t>
      </w:r>
      <w:r>
        <w:rPr>
          <w:rFonts w:cs="2  Mitra" w:hint="cs"/>
          <w:sz w:val="28"/>
          <w:szCs w:val="28"/>
          <w:rtl/>
          <w:lang w:bidi="fa-IR"/>
        </w:rPr>
        <w:t>.</w:t>
      </w:r>
      <w:r>
        <w:rPr>
          <w:rStyle w:val="FootnoteReference"/>
          <w:rFonts w:cs="2  Mitra"/>
          <w:spacing w:val="-2"/>
          <w:sz w:val="28"/>
          <w:szCs w:val="28"/>
          <w:rtl/>
        </w:rPr>
        <w:footnoteReference w:id="4"/>
      </w:r>
    </w:p>
    <w:p w14:paraId="6DBEE1FA" w14:textId="77777777" w:rsidR="00015B20" w:rsidRDefault="00015B20" w:rsidP="00015B20">
      <w:pPr>
        <w:widowControl w:val="0"/>
        <w:bidi/>
        <w:spacing w:before="240" w:line="261" w:lineRule="auto"/>
        <w:ind w:firstLine="289"/>
        <w:jc w:val="both"/>
        <w:rPr>
          <w:rFonts w:cs="2  Mitra" w:hint="cs"/>
          <w:sz w:val="28"/>
          <w:szCs w:val="28"/>
          <w:rtl/>
          <w:lang w:bidi="fa-IR"/>
        </w:rPr>
      </w:pPr>
      <w:r>
        <w:rPr>
          <w:rFonts w:cs="2  Mitra" w:hint="cs"/>
          <w:sz w:val="28"/>
          <w:szCs w:val="28"/>
          <w:rtl/>
        </w:rPr>
        <w:t>امّا این ادعا صحیح نیست؛ زیرا اثری که بر این مسأله مترتب می‌شود آن است که اگر دلالت حرف استثناء بر معنایی که در خصوص مستثنى فهمیده می‌شود، بر اساس مفهوم آن باشد، در تعارض با معانی منطوقی، از آن دست برداشته می‌شود؛ در حالی‌که اگر این دلالت بر اساس منطوق باشد، نمی‌توان آن را به طور مطلق ضعیف‌تر از سایر دلالت‌های منطوقی به شمار آورد و آنچه مرحوم شیخ فرموده‌اند مبنی بر این‌که وجهی برای ضعیف‌تر بودن دلالت مفهومی نسبت به دلالت منطوقی وجود ندارد، سخن درستی نیست؛ زیرا ـ همان‌گونه که در مباحث مقدماتی گذشت ـ معنای مفهومی از لوازم تغییر در حیثیات تقییدیه‌ی موضوع و ناشی از علت منحصره بودن آن‌ها برای ترتب حکم بر ذات موضوع است. بنابر این، برداشت معنای مفهومی از لفظ، نیازمند واسطه است، و روشن است که ظهور لفظ در معنایی که بی‌واسطه از آن فهمیده می‌شود، اقوی از ظهوری است که فهم آن مبتنی بر وسائط باشد</w:t>
      </w:r>
      <w:r>
        <w:rPr>
          <w:rFonts w:cs="2  Mitra" w:hint="cs"/>
          <w:sz w:val="28"/>
          <w:szCs w:val="28"/>
          <w:rtl/>
          <w:lang w:bidi="fa-IR"/>
        </w:rPr>
        <w:t>.</w:t>
      </w:r>
    </w:p>
    <w:p w14:paraId="4EF0331F" w14:textId="77777777" w:rsidR="00015B20" w:rsidRDefault="00015B20" w:rsidP="00015B20">
      <w:pPr>
        <w:widowControl w:val="0"/>
        <w:bidi/>
        <w:spacing w:before="240" w:line="261" w:lineRule="auto"/>
        <w:ind w:firstLine="289"/>
        <w:jc w:val="both"/>
        <w:rPr>
          <w:rFonts w:cs="2  Mitra" w:hint="cs"/>
          <w:sz w:val="28"/>
          <w:szCs w:val="28"/>
          <w:rtl/>
          <w:lang w:bidi="fa-IR"/>
        </w:rPr>
      </w:pPr>
      <w:r>
        <w:rPr>
          <w:rFonts w:cs="2  Mitra" w:hint="cs"/>
          <w:sz w:val="28"/>
          <w:szCs w:val="28"/>
          <w:rtl/>
        </w:rPr>
        <w:t>بلکه حتی ظهوری که میان آن و منطوق کلام واسطه‌های کمتری وجود دارد، اقوی است از ظهوری که واسطه‌های بیشتری میان آن و منطوق برقرار است. از این رو لوازم مدلول مطابقی منطوقی، بر مفهوم آن مقدّم خواهد بود</w:t>
      </w:r>
      <w:r>
        <w:rPr>
          <w:rFonts w:cs="2  Mitra" w:hint="cs"/>
          <w:sz w:val="28"/>
          <w:szCs w:val="28"/>
          <w:rtl/>
          <w:lang w:bidi="fa-IR"/>
        </w:rPr>
        <w:t>.</w:t>
      </w:r>
    </w:p>
    <w:p w14:paraId="6FE61D7A" w14:textId="77777777" w:rsidR="00015B20" w:rsidRDefault="00015B20" w:rsidP="00015B20">
      <w:pPr>
        <w:widowControl w:val="0"/>
        <w:bidi/>
        <w:spacing w:before="240" w:line="261" w:lineRule="auto"/>
        <w:ind w:firstLine="289"/>
        <w:jc w:val="both"/>
        <w:rPr>
          <w:rFonts w:cs="2  Mitra" w:hint="cs"/>
          <w:sz w:val="28"/>
          <w:szCs w:val="28"/>
          <w:rtl/>
        </w:rPr>
      </w:pPr>
      <w:r>
        <w:rPr>
          <w:rFonts w:cs="2  Mitra" w:hint="cs"/>
          <w:sz w:val="28"/>
          <w:szCs w:val="28"/>
          <w:rtl/>
        </w:rPr>
        <w:t xml:space="preserve">مگر آن‌که در تأیید مدّعای شیخ گفته شود: این ادعا هرچند در جایی که مدلول‌های متعدد از یک دلیل واحد به‌دست آید، قابل التزام است، امّا در مواردی که دو دلیل مستقل وجود دارد، تمام نیست و صرف این که معنایی در یک دلیل از منطوق کلام استفاده شود، موجب تقدیم آن بر دلیلی دیگر که معنا از مفهوم آن استفاده شده است، نخواهد بود؛ زیرا ممکن است منطوق دلیل دوم در حدّ نص باشد، در حالی که منطوق دلیل اول تنها ظاهر باشد که در این صورت هیچ وجهی برای تقدیم منطوق دلیل اول بر مفهوم دلیل دوم به صرف تقدم منطوق بر مفهوم وجود ندارد؛ چرا که چه‌بسا مفهوم مستفاد از نصّ یک </w:t>
      </w:r>
      <w:r>
        <w:rPr>
          <w:rFonts w:cs="2  Mitra" w:hint="cs"/>
          <w:sz w:val="28"/>
          <w:szCs w:val="28"/>
          <w:rtl/>
        </w:rPr>
        <w:lastRenderedPageBreak/>
        <w:t>دلیل از ظاهر منطوق دلیل دیگر قوی‌تر باشد.</w:t>
      </w:r>
    </w:p>
    <w:p w14:paraId="6A05BCC4" w14:textId="77777777" w:rsidR="00015B20" w:rsidRDefault="00015B20" w:rsidP="00015B20">
      <w:pPr>
        <w:widowControl w:val="0"/>
        <w:bidi/>
        <w:spacing w:before="240" w:line="261" w:lineRule="auto"/>
        <w:ind w:firstLine="289"/>
        <w:jc w:val="both"/>
        <w:rPr>
          <w:rFonts w:cs="2  Mitra" w:hint="cs"/>
          <w:sz w:val="28"/>
          <w:szCs w:val="28"/>
          <w:rtl/>
        </w:rPr>
      </w:pPr>
      <w:r>
        <w:rPr>
          <w:rFonts w:cs="2  Mitra" w:hint="cs"/>
          <w:sz w:val="28"/>
          <w:szCs w:val="28"/>
          <w:rtl/>
        </w:rPr>
        <w:t>ولی اين مدعا پاسخی دارد که جلسه بعد مطرح خواهيم کرد.</w:t>
      </w:r>
    </w:p>
    <w:p w14:paraId="79279752" w14:textId="77777777" w:rsidR="00015B20" w:rsidRDefault="00015B20" w:rsidP="00015B20">
      <w:pPr>
        <w:rPr>
          <w:rFonts w:cs="2  Mitra" w:hint="cs"/>
          <w:sz w:val="28"/>
          <w:szCs w:val="28"/>
          <w:rtl/>
        </w:rPr>
      </w:pPr>
      <w:r>
        <w:rPr>
          <w:rFonts w:cs="2  Mitra" w:hint="cs"/>
          <w:sz w:val="28"/>
          <w:szCs w:val="28"/>
          <w:rtl/>
        </w:rPr>
        <w:br w:type="page"/>
      </w:r>
    </w:p>
    <w:p w14:paraId="7EE5291C" w14:textId="77777777" w:rsidR="00015B20" w:rsidRDefault="00015B20" w:rsidP="00015B20">
      <w:pPr>
        <w:widowControl w:val="0"/>
        <w:bidi/>
        <w:spacing w:after="0" w:line="261" w:lineRule="auto"/>
        <w:ind w:firstLine="289"/>
        <w:jc w:val="both"/>
        <w:rPr>
          <w:rFonts w:cs="Abz-2 (Badr)" w:hint="cs"/>
          <w:sz w:val="28"/>
          <w:szCs w:val="28"/>
          <w:rtl/>
        </w:rPr>
      </w:pPr>
      <w:r>
        <w:rPr>
          <w:rFonts w:cs="Abz-2 (Badr)" w:hint="cs"/>
          <w:sz w:val="28"/>
          <w:szCs w:val="28"/>
          <w:rtl/>
        </w:rPr>
        <w:lastRenderedPageBreak/>
        <w:t>ما يمكن ذكره في توجيه مدّعى الشيخ هو أنّ مراده أنّ لفظ التوحيد كما يدلّ على نفي الوجود الفعلي لإله غير الله تعالى، يدلّ أيضاً على الوجود الفعلي لله سبحانه، وأمّا الذي يفهم منه بالملازمة فهو نفي الإمكان الوجودي لإله غيره لا نفي وجوده الفعلي؛ إذ نفي الوجود الفعلي مدلول مطابقي للّفظ.</w:t>
      </w:r>
    </w:p>
    <w:p w14:paraId="38670EFC" w14:textId="77777777" w:rsidR="00015B20" w:rsidRDefault="00015B20" w:rsidP="00015B20">
      <w:pPr>
        <w:widowControl w:val="0"/>
        <w:bidi/>
        <w:spacing w:after="0" w:line="261" w:lineRule="auto"/>
        <w:ind w:firstLine="289"/>
        <w:jc w:val="both"/>
        <w:rPr>
          <w:rFonts w:cs="Abz-2 (Badr)" w:hint="cs"/>
          <w:sz w:val="28"/>
          <w:szCs w:val="28"/>
          <w:rtl/>
        </w:rPr>
      </w:pPr>
      <w:r>
        <w:rPr>
          <w:rFonts w:cs="Abz-2 (Badr)" w:hint="cs"/>
          <w:sz w:val="28"/>
          <w:szCs w:val="28"/>
          <w:rtl/>
        </w:rPr>
        <w:t>وعلى هذا يكون مدّعاه مشابهاً لما ذكره المحقّق الخراساني في مقام دفع الإشكال حيث قرّر أنّ المراد من «إله» في هذه العبارة هو واجب الوجود، وأنّ لفظ التوحيد يدلّ على نفي ثبوته ووجوده في الخارج وإثبات فرد واحد منه، وهذا بالملازمة يدلّ على امتناع غير الله تعالى، إذ لو لم يكن ممتنعاً لكان موجوداً لا محالة.</w:t>
      </w:r>
      <w:r>
        <w:rPr>
          <w:rStyle w:val="FootnoteReference"/>
          <w:rFonts w:cs="2  Mitra"/>
          <w:spacing w:val="-2"/>
          <w:sz w:val="28"/>
          <w:szCs w:val="28"/>
          <w:rtl/>
        </w:rPr>
        <w:footnoteReference w:id="5"/>
      </w:r>
    </w:p>
    <w:p w14:paraId="64B69E1B" w14:textId="77777777" w:rsidR="00015B20" w:rsidRDefault="00015B20" w:rsidP="00015B20">
      <w:pPr>
        <w:widowControl w:val="0"/>
        <w:bidi/>
        <w:spacing w:after="0" w:line="261" w:lineRule="auto"/>
        <w:ind w:firstLine="289"/>
        <w:jc w:val="both"/>
        <w:rPr>
          <w:rFonts w:cs="Abz-2 (Badr)" w:hint="cs"/>
          <w:sz w:val="28"/>
          <w:szCs w:val="28"/>
          <w:rtl/>
        </w:rPr>
      </w:pPr>
      <w:r>
        <w:rPr>
          <w:rFonts w:cs="Abz-2 (Badr)" w:hint="cs"/>
          <w:sz w:val="28"/>
          <w:szCs w:val="28"/>
          <w:rtl/>
        </w:rPr>
        <w:t>غير أنّ هذه الأُمور ـ كما ذكره السيّد الخميني</w:t>
      </w:r>
      <w:r>
        <w:rPr>
          <w:rStyle w:val="FootnoteReference"/>
          <w:rFonts w:cs="2  Mitra"/>
          <w:spacing w:val="-2"/>
          <w:sz w:val="28"/>
          <w:szCs w:val="28"/>
          <w:rtl/>
        </w:rPr>
        <w:footnoteReference w:id="6"/>
      </w:r>
      <w:r>
        <w:rPr>
          <w:rFonts w:cs="Abz-2 (Badr)" w:hint="cs"/>
          <w:sz w:val="28"/>
          <w:szCs w:val="28"/>
          <w:rtl/>
        </w:rPr>
        <w:t xml:space="preserve"> ـ من الدقائق الخفيّة على عامّة الناس، فلا يصحّ الادّعاء بأنّ كلّ من تلفّظ بكلمة التوحيد كان عارفاً بها وملتزماً بمقتضاها.</w:t>
      </w:r>
    </w:p>
    <w:p w14:paraId="4CDC535D" w14:textId="77777777" w:rsidR="00015B20" w:rsidRDefault="00015B20" w:rsidP="00015B20">
      <w:pPr>
        <w:widowControl w:val="0"/>
        <w:bidi/>
        <w:spacing w:after="0" w:line="261" w:lineRule="auto"/>
        <w:ind w:firstLine="289"/>
        <w:jc w:val="both"/>
        <w:rPr>
          <w:rFonts w:cs="Abz-2 (Badr)" w:hint="cs"/>
          <w:sz w:val="28"/>
          <w:szCs w:val="28"/>
          <w:rtl/>
        </w:rPr>
      </w:pPr>
      <w:r>
        <w:rPr>
          <w:rFonts w:cs="Abz-2 (Badr)" w:hint="cs"/>
          <w:sz w:val="28"/>
          <w:szCs w:val="28"/>
          <w:rtl/>
        </w:rPr>
        <w:t>وعليه فلابدّ من القول بأنّ ما يشكّل أساس التوحيد، هو الإيمان القلبي بوحدانيّة الله تعالى، وأمّا التلفّظ بكلمة التوحيد فليس إلّا أمارة يحكم بمقتضاها بإسلام ظاهري للناطق بها؛ بل إنّ الشارع قد اعتبرها سبباً للإسلام الظاهري حتّى في الموارد التي يعلم فيها بعدم التزام القائل بمفادها، كما في بعض المنافقين في صدر الإسلام حيث كان رسول الله(ص) يجري عليهم حكم الإسلام ظاهراً مع العلم بنفاقهم. ومن هنا نشأت دعوى بعضهم أنّ دلالة هذه الكلمة على توحيد القائل تعبّديّة.</w:t>
      </w:r>
    </w:p>
    <w:p w14:paraId="3B7703A8" w14:textId="77777777" w:rsidR="00015B20" w:rsidRDefault="00015B20" w:rsidP="00015B20">
      <w:pPr>
        <w:widowControl w:val="0"/>
        <w:bidi/>
        <w:spacing w:after="0" w:line="261" w:lineRule="auto"/>
        <w:ind w:firstLine="289"/>
        <w:jc w:val="both"/>
        <w:rPr>
          <w:rFonts w:cs="Abz-2 (Badr)"/>
          <w:sz w:val="28"/>
          <w:szCs w:val="28"/>
        </w:rPr>
      </w:pPr>
      <w:r>
        <w:rPr>
          <w:rFonts w:cs="Abz-2 (Badr)" w:hint="cs"/>
          <w:sz w:val="28"/>
          <w:szCs w:val="28"/>
          <w:rtl/>
        </w:rPr>
        <w:t>إلّا أنّ هذه الأماريّة مشروطة بأن يكون الناطق بها عالماً بمعاني ألفاظها عارفاً بالمقصود منها. وحيث إنّ معنى هذه الكلمة كان يُبيّن للقائل قبل النطق بها، فلا بعد في القول بأنّ القائل كان يعلم بالمراد منها اعتماداً على القرائن السابقة على التلفّظ. ومن ثمّ لا يصحّ جعل الدلالة المستفادة منها حجّة لإثبات إفادة أداة الاستثناء لمفهوم.</w:t>
      </w:r>
    </w:p>
    <w:p w14:paraId="5FD41AF2" w14:textId="77777777" w:rsidR="00015B20" w:rsidRDefault="00015B20" w:rsidP="00015B20">
      <w:pPr>
        <w:widowControl w:val="0"/>
        <w:bidi/>
        <w:spacing w:after="0" w:line="261" w:lineRule="auto"/>
        <w:ind w:firstLine="289"/>
        <w:jc w:val="both"/>
        <w:rPr>
          <w:rFonts w:cs="Abz-2 (Badr)" w:hint="cs"/>
          <w:sz w:val="28"/>
          <w:szCs w:val="28"/>
          <w:rtl/>
        </w:rPr>
      </w:pPr>
      <w:r>
        <w:rPr>
          <w:rFonts w:cs="Abz-2 (Badr)" w:hint="cs"/>
          <w:sz w:val="28"/>
          <w:szCs w:val="28"/>
          <w:rtl/>
        </w:rPr>
        <w:t>ثمّ إنّه هل المعنى المستفاد من الکلام في جانب المستثنى مستفاد من منطوقه أو من مفهومه؟</w:t>
      </w:r>
    </w:p>
    <w:p w14:paraId="671AAABA" w14:textId="77777777" w:rsidR="00015B20" w:rsidRDefault="00015B20" w:rsidP="00015B20">
      <w:pPr>
        <w:widowControl w:val="0"/>
        <w:bidi/>
        <w:spacing w:after="0" w:line="261" w:lineRule="auto"/>
        <w:ind w:firstLine="289"/>
        <w:jc w:val="both"/>
        <w:rPr>
          <w:rFonts w:cs="Abz-2 (Badr)" w:hint="cs"/>
          <w:sz w:val="28"/>
          <w:szCs w:val="28"/>
          <w:rtl/>
        </w:rPr>
      </w:pPr>
      <w:r>
        <w:rPr>
          <w:rFonts w:cs="Abz-2 (Badr)" w:hint="cs"/>
          <w:sz w:val="28"/>
          <w:szCs w:val="28"/>
          <w:rtl/>
        </w:rPr>
        <w:t xml:space="preserve">قد صرّح الشيخ والمحقّق الخراساني بأنّ العلم بكون هذا المعنى مستفاداً من منطوق أداة الاستثناء أو من مفهومها لا </w:t>
      </w:r>
      <w:r>
        <w:rPr>
          <w:rFonts w:cs="Abz-2 (Badr)" w:hint="cs"/>
          <w:sz w:val="28"/>
          <w:szCs w:val="28"/>
          <w:rtl/>
        </w:rPr>
        <w:lastRenderedPageBreak/>
        <w:t>يترتّب عليه ثمرة عمليّة.</w:t>
      </w:r>
      <w:r>
        <w:rPr>
          <w:rStyle w:val="FootnoteReference"/>
          <w:rFonts w:cs="2  Mitra"/>
          <w:spacing w:val="-2"/>
          <w:sz w:val="28"/>
          <w:szCs w:val="28"/>
          <w:rtl/>
        </w:rPr>
        <w:footnoteReference w:id="7"/>
      </w:r>
    </w:p>
    <w:p w14:paraId="0514823B" w14:textId="77777777" w:rsidR="00015B20" w:rsidRDefault="00015B20" w:rsidP="00015B20">
      <w:pPr>
        <w:widowControl w:val="0"/>
        <w:bidi/>
        <w:spacing w:after="0" w:line="261" w:lineRule="auto"/>
        <w:ind w:firstLine="289"/>
        <w:jc w:val="both"/>
        <w:rPr>
          <w:rFonts w:cs="Abz-2 (Badr)" w:hint="cs"/>
          <w:sz w:val="28"/>
          <w:szCs w:val="28"/>
          <w:rtl/>
        </w:rPr>
      </w:pPr>
      <w:r>
        <w:rPr>
          <w:rFonts w:cs="Abz-2 (Badr)" w:hint="cs"/>
          <w:sz w:val="28"/>
          <w:szCs w:val="28"/>
          <w:rtl/>
        </w:rPr>
        <w:t>ولكن هذا الادّعاء غير تامّ، إذ إن كانت دلالة أداة الاستثناء على المعنى المفهوم في جانب المستثنى ناشئة من المفهوم، فإنّه عند التعارض مع الدلالات المنطوقيّة يقدّم المنطوق عليها، وأمّا إذا كانت الدلالة من باب المنطوق، فلا وجه لعدّها أضعف مطلقاً من سائر الدلالات المنطوقيّة.</w:t>
      </w:r>
    </w:p>
    <w:p w14:paraId="7ED4D10B" w14:textId="77777777" w:rsidR="00015B20" w:rsidRDefault="00015B20" w:rsidP="00015B20">
      <w:pPr>
        <w:widowControl w:val="0"/>
        <w:bidi/>
        <w:spacing w:after="0" w:line="261" w:lineRule="auto"/>
        <w:ind w:firstLine="289"/>
        <w:jc w:val="both"/>
        <w:rPr>
          <w:rFonts w:cs="Abz-2 (Badr)" w:hint="cs"/>
          <w:sz w:val="28"/>
          <w:szCs w:val="28"/>
          <w:rtl/>
        </w:rPr>
      </w:pPr>
      <w:r>
        <w:rPr>
          <w:rFonts w:cs="Abz-2 (Badr)" w:hint="cs"/>
          <w:sz w:val="28"/>
          <w:szCs w:val="28"/>
          <w:rtl/>
        </w:rPr>
        <w:t>وأمّا ما ذكره الشيخ من أنّه لا وجه لاعتبار الدلالة المفهوميّة أضعف من الدلالة المنطوقيّة، ففيه: أنّ المفهوم ـ كما تقدّم في المباحث التمهيديّة ـ إنّما يکون من لوازم التغيير في الحيثيّات التقييديّة للموضوع باعتبار كونها علّة منحصرة لترتّب الحكم على ذات الموضوع. ومن ثمّ فإنّ استفادة المعنى المفهومي من اللفظ تحتاج إلى واسطة، ومن الواضح أنّ ظهور اللفظ في معنىً يفهم من اللفظ بلا واسطة، يکون أقوى من ظهوره في معنىً يتوقّف فهمه منه على وسائط؛ بل إنّ الظهور الذي تقلّ وسائطه أقوى من الظهور الذي تكثر وسائطه، ولأجل ذلك تقدّم لوازم المدلول المطابقي المنطوقي على مفهوم الكلام.</w:t>
      </w:r>
    </w:p>
    <w:p w14:paraId="45649B5E" w14:textId="77777777" w:rsidR="00015B20" w:rsidRDefault="00015B20" w:rsidP="00015B20">
      <w:pPr>
        <w:widowControl w:val="0"/>
        <w:bidi/>
        <w:spacing w:after="0" w:line="261" w:lineRule="auto"/>
        <w:ind w:firstLine="289"/>
        <w:jc w:val="both"/>
        <w:rPr>
          <w:rFonts w:cs="Abz-2 (Badr)" w:hint="cs"/>
          <w:sz w:val="28"/>
          <w:szCs w:val="28"/>
          <w:rtl/>
        </w:rPr>
      </w:pPr>
      <w:r>
        <w:rPr>
          <w:rFonts w:cs="Abz-2 (Badr)" w:hint="cs"/>
          <w:sz w:val="28"/>
          <w:szCs w:val="28"/>
          <w:rtl/>
        </w:rPr>
        <w:t>اللهمّ إلّا أن يقال: إنّ هذا الادّعاء وإن كان قابلاً للالتزام به فيما إذا تعدّدت المدلولات المستفادة من دليل واحد، إلّا أنّه في مورد وجود دليلين مستقلّين ليس بتامّ؛ فإنّ مجرّد كون المعنى في أحد الدليلين مستفاداً من المنطوق لا يقتضي تقديمه على دليل آخر يكون المعنى فيه مستفاداً من المفهوم، إذ قد يكون منطوق الدليل الثاني نصّاً في حين أنّ منطوق الدليل الأوّل لا يعدو أن يكون ظاهراً. ففي مثل هذه الصورة لا وجه لتقديم منطوق الدليل الأوّل على مفهوم الدليل الثاني بمجرّد كونه منطوقاً، إذ لا بعد في أن يكون المفهوم المستفاد من نصّ دليل ما أقوى من ظاهر منطوق دليل آخر.</w:t>
      </w:r>
    </w:p>
    <w:p w14:paraId="3FA92F1A" w14:textId="77777777" w:rsidR="00015B20" w:rsidRDefault="00015B20" w:rsidP="00015B20">
      <w:pPr>
        <w:widowControl w:val="0"/>
        <w:bidi/>
        <w:spacing w:after="0" w:line="261" w:lineRule="auto"/>
        <w:ind w:firstLine="289"/>
        <w:jc w:val="both"/>
        <w:rPr>
          <w:rFonts w:cs="Abz-2 (Badr)" w:hint="cs"/>
          <w:sz w:val="28"/>
          <w:szCs w:val="28"/>
          <w:rtl/>
        </w:rPr>
      </w:pPr>
      <w:r>
        <w:rPr>
          <w:rFonts w:cs="Abz-2 (Badr)" w:hint="cs"/>
          <w:sz w:val="28"/>
          <w:szCs w:val="28"/>
          <w:rtl/>
        </w:rPr>
        <w:t>غير أنّ لهذا المدّعى جواباً سنذكره في الجلسة الآتية إن شاء الله تعالى.</w:t>
      </w:r>
    </w:p>
    <w:p w14:paraId="5880DCFF" w14:textId="77777777" w:rsidR="00015B20" w:rsidRDefault="00015B20" w:rsidP="00015B20">
      <w:pPr>
        <w:widowControl w:val="0"/>
        <w:bidi/>
        <w:spacing w:after="0" w:line="261" w:lineRule="auto"/>
        <w:ind w:firstLine="289"/>
        <w:jc w:val="both"/>
        <w:rPr>
          <w:rFonts w:cs="Abz-2 (Badr)"/>
          <w:sz w:val="28"/>
          <w:szCs w:val="28"/>
        </w:rPr>
      </w:pPr>
    </w:p>
    <w:p w14:paraId="7D9979DE" w14:textId="26D41A3F" w:rsidR="001B24FC" w:rsidRPr="00015B20" w:rsidRDefault="001B24FC" w:rsidP="00015B20">
      <w:pPr>
        <w:rPr>
          <w:rtl/>
        </w:rPr>
      </w:pPr>
    </w:p>
    <w:sectPr w:rsidR="001B24FC" w:rsidRPr="00015B20" w:rsidSect="008666ED">
      <w:headerReference w:type="default" r:id="rId7"/>
      <w:footerReference w:type="default" r:id="rId8"/>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91213" w14:textId="77777777" w:rsidR="00E4372E" w:rsidRDefault="00E4372E" w:rsidP="00C336C5">
      <w:pPr>
        <w:spacing w:after="0" w:line="240" w:lineRule="auto"/>
      </w:pPr>
      <w:r>
        <w:separator/>
      </w:r>
    </w:p>
  </w:endnote>
  <w:endnote w:type="continuationSeparator" w:id="0">
    <w:p w14:paraId="1C87A087" w14:textId="77777777" w:rsidR="00E4372E" w:rsidRDefault="00E4372E" w:rsidP="00C336C5">
      <w:pPr>
        <w:spacing w:after="0" w:line="240" w:lineRule="auto"/>
      </w:pPr>
      <w:r>
        <w:continuationSeparator/>
      </w:r>
    </w:p>
  </w:endnote>
  <w:endnote w:type="continuationNotice" w:id="1">
    <w:p w14:paraId="41EDCBA4" w14:textId="77777777" w:rsidR="00E4372E" w:rsidRDefault="00E437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90796" w14:textId="77777777" w:rsidR="00E4372E" w:rsidRDefault="00E4372E" w:rsidP="00C336C5">
      <w:pPr>
        <w:bidi/>
        <w:spacing w:after="0" w:line="240" w:lineRule="auto"/>
      </w:pPr>
      <w:r>
        <w:separator/>
      </w:r>
    </w:p>
  </w:footnote>
  <w:footnote w:type="continuationSeparator" w:id="0">
    <w:p w14:paraId="1571FA29" w14:textId="77777777" w:rsidR="00E4372E" w:rsidRDefault="00E4372E" w:rsidP="00C336C5">
      <w:pPr>
        <w:spacing w:after="0" w:line="240" w:lineRule="auto"/>
      </w:pPr>
      <w:r>
        <w:continuationSeparator/>
      </w:r>
    </w:p>
  </w:footnote>
  <w:footnote w:type="continuationNotice" w:id="1">
    <w:p w14:paraId="4334A097" w14:textId="77777777" w:rsidR="00E4372E" w:rsidRDefault="00E4372E">
      <w:pPr>
        <w:spacing w:after="0" w:line="240" w:lineRule="auto"/>
      </w:pPr>
    </w:p>
  </w:footnote>
  <w:footnote w:id="2">
    <w:p w14:paraId="62AB19B2" w14:textId="77777777" w:rsidR="00015B20" w:rsidRDefault="00015B20" w:rsidP="00015B20">
      <w:pPr>
        <w:pStyle w:val="FootnoteText"/>
        <w:bidi/>
        <w:jc w:val="left"/>
        <w:rPr>
          <w:rFonts w:cs="Abz-2 (Badr)" w:hint="cs"/>
          <w:rtl/>
          <w:lang w:bidi="fa-IR"/>
        </w:rPr>
      </w:pPr>
      <w:r>
        <w:rPr>
          <w:rFonts w:cs="Abz-2 (Badr)"/>
          <w:lang w:bidi="fa-IR"/>
        </w:rPr>
        <w:footnoteRef/>
      </w:r>
      <w:r>
        <w:rPr>
          <w:rFonts w:cs="Abz-2 (Badr)" w:hint="cs"/>
          <w:rtl/>
          <w:lang w:bidi="fa-IR"/>
        </w:rPr>
        <w:t xml:space="preserve"> ـ راجع: کفاية الأُصول،ص210.</w:t>
      </w:r>
    </w:p>
  </w:footnote>
  <w:footnote w:id="3">
    <w:p w14:paraId="5905B38E" w14:textId="77777777" w:rsidR="00015B20" w:rsidRDefault="00015B20" w:rsidP="00015B20">
      <w:pPr>
        <w:pStyle w:val="FootnoteText"/>
        <w:bidi/>
        <w:jc w:val="left"/>
        <w:rPr>
          <w:rFonts w:cs="Abz-2 (Badr)" w:hint="cs"/>
          <w:rtl/>
          <w:lang w:bidi="fa-IR"/>
        </w:rPr>
      </w:pPr>
      <w:r>
        <w:rPr>
          <w:rFonts w:cs="Abz-2 (Badr)"/>
          <w:lang w:bidi="fa-IR"/>
        </w:rPr>
        <w:footnoteRef/>
      </w:r>
      <w:r>
        <w:rPr>
          <w:rFonts w:cs="Abz-2 (Badr)" w:hint="cs"/>
          <w:rtl/>
          <w:lang w:bidi="fa-IR"/>
        </w:rPr>
        <w:t xml:space="preserve"> </w:t>
      </w:r>
      <w:r>
        <w:rPr>
          <w:rFonts w:cs="Abz-2 (Badr)" w:hint="cs"/>
          <w:rtl/>
          <w:lang w:bidi="fa-IR"/>
        </w:rPr>
        <w:t xml:space="preserve">ـ </w:t>
      </w:r>
      <w:r>
        <w:rPr>
          <w:rFonts w:cs="Abz-2 (Badr)" w:hint="cs"/>
          <w:rtl/>
          <w:lang w:bidi="fa-IR"/>
        </w:rPr>
        <w:t>راجع: مناهج الوصول،ج2،ص226.</w:t>
      </w:r>
    </w:p>
  </w:footnote>
  <w:footnote w:id="4">
    <w:p w14:paraId="4AC62C05" w14:textId="77777777" w:rsidR="00015B20" w:rsidRDefault="00015B20" w:rsidP="00015B20">
      <w:pPr>
        <w:pStyle w:val="FootnoteText"/>
        <w:bidi/>
        <w:jc w:val="left"/>
        <w:rPr>
          <w:rFonts w:cs="Abz-2 (Badr)" w:hint="cs"/>
          <w:rtl/>
          <w:lang w:bidi="fa-IR"/>
        </w:rPr>
      </w:pPr>
      <w:r>
        <w:rPr>
          <w:rFonts w:cs="Abz-2 (Badr)"/>
          <w:lang w:bidi="fa-IR"/>
        </w:rPr>
        <w:footnoteRef/>
      </w:r>
      <w:r>
        <w:rPr>
          <w:rFonts w:cs="Abz-2 (Badr)" w:hint="cs"/>
          <w:rtl/>
          <w:lang w:bidi="fa-IR"/>
        </w:rPr>
        <w:t xml:space="preserve"> </w:t>
      </w:r>
      <w:r>
        <w:rPr>
          <w:rFonts w:cs="Abz-2 (Badr)" w:hint="cs"/>
          <w:rtl/>
          <w:lang w:bidi="fa-IR"/>
        </w:rPr>
        <w:t xml:space="preserve">ـ </w:t>
      </w:r>
      <w:r>
        <w:rPr>
          <w:rFonts w:cs="Abz-2 (Badr)" w:hint="cs"/>
          <w:rtl/>
          <w:lang w:bidi="fa-IR"/>
        </w:rPr>
        <w:t>راجع: مطارح الأنظار،ج2،ص108 ـ کفاية الأُصول،ص211.</w:t>
      </w:r>
    </w:p>
  </w:footnote>
  <w:footnote w:id="5">
    <w:p w14:paraId="2F93A910" w14:textId="77777777" w:rsidR="00015B20" w:rsidRDefault="00015B20" w:rsidP="00015B20">
      <w:pPr>
        <w:pStyle w:val="FootnoteText"/>
        <w:bidi/>
        <w:jc w:val="left"/>
        <w:rPr>
          <w:rFonts w:cs="Abz-2 (Badr)" w:hint="cs"/>
          <w:rtl/>
          <w:lang w:bidi="fa-IR"/>
        </w:rPr>
      </w:pPr>
      <w:r>
        <w:rPr>
          <w:rFonts w:cs="Abz-2 (Badr)"/>
          <w:lang w:bidi="fa-IR"/>
        </w:rPr>
        <w:footnoteRef/>
      </w:r>
      <w:r>
        <w:rPr>
          <w:rFonts w:cs="Abz-2 (Badr)" w:hint="cs"/>
          <w:rtl/>
          <w:lang w:bidi="fa-IR"/>
        </w:rPr>
        <w:t xml:space="preserve"> </w:t>
      </w:r>
      <w:r>
        <w:rPr>
          <w:rFonts w:cs="Abz-2 (Badr)" w:hint="cs"/>
          <w:rtl/>
          <w:lang w:bidi="fa-IR"/>
        </w:rPr>
        <w:t xml:space="preserve">ـ </w:t>
      </w:r>
      <w:r>
        <w:rPr>
          <w:rFonts w:cs="Abz-2 (Badr)" w:hint="cs"/>
          <w:rtl/>
          <w:lang w:bidi="fa-IR"/>
        </w:rPr>
        <w:t>راجع: کفاية الأُصول،ص210.</w:t>
      </w:r>
    </w:p>
  </w:footnote>
  <w:footnote w:id="6">
    <w:p w14:paraId="4EC99E35" w14:textId="77777777" w:rsidR="00015B20" w:rsidRDefault="00015B20" w:rsidP="00015B20">
      <w:pPr>
        <w:pStyle w:val="FootnoteText"/>
        <w:bidi/>
        <w:jc w:val="left"/>
        <w:rPr>
          <w:rFonts w:cs="Abz-2 (Badr)" w:hint="cs"/>
          <w:rtl/>
          <w:lang w:bidi="fa-IR"/>
        </w:rPr>
      </w:pPr>
      <w:r>
        <w:rPr>
          <w:rFonts w:cs="Abz-2 (Badr)"/>
          <w:lang w:bidi="fa-IR"/>
        </w:rPr>
        <w:footnoteRef/>
      </w:r>
      <w:r>
        <w:rPr>
          <w:rFonts w:cs="Abz-2 (Badr)" w:hint="cs"/>
          <w:rtl/>
          <w:lang w:bidi="fa-IR"/>
        </w:rPr>
        <w:t xml:space="preserve"> </w:t>
      </w:r>
      <w:r>
        <w:rPr>
          <w:rFonts w:cs="Abz-2 (Badr)" w:hint="cs"/>
          <w:rtl/>
          <w:lang w:bidi="fa-IR"/>
        </w:rPr>
        <w:t xml:space="preserve">ـ </w:t>
      </w:r>
      <w:r>
        <w:rPr>
          <w:rFonts w:cs="Abz-2 (Badr)" w:hint="cs"/>
          <w:rtl/>
          <w:lang w:bidi="fa-IR"/>
        </w:rPr>
        <w:t>راجع: مناهج الوصول،ج2،ص226.</w:t>
      </w:r>
    </w:p>
  </w:footnote>
  <w:footnote w:id="7">
    <w:p w14:paraId="27C73777" w14:textId="77777777" w:rsidR="00015B20" w:rsidRDefault="00015B20" w:rsidP="00015B20">
      <w:pPr>
        <w:pStyle w:val="FootnoteText"/>
        <w:bidi/>
        <w:jc w:val="left"/>
        <w:rPr>
          <w:rFonts w:cs="Abz-2 (Badr)" w:hint="cs"/>
          <w:rtl/>
          <w:lang w:bidi="fa-IR"/>
        </w:rPr>
      </w:pPr>
      <w:r>
        <w:rPr>
          <w:rFonts w:cs="Abz-2 (Badr)"/>
          <w:lang w:bidi="fa-IR"/>
        </w:rPr>
        <w:footnoteRef/>
      </w:r>
      <w:r>
        <w:rPr>
          <w:rFonts w:cs="Abz-2 (Badr)" w:hint="cs"/>
          <w:rtl/>
          <w:lang w:bidi="fa-IR"/>
        </w:rPr>
        <w:t xml:space="preserve"> </w:t>
      </w:r>
      <w:r>
        <w:rPr>
          <w:rFonts w:cs="Abz-2 (Badr)" w:hint="cs"/>
          <w:rtl/>
          <w:lang w:bidi="fa-IR"/>
        </w:rPr>
        <w:t xml:space="preserve">ـ </w:t>
      </w:r>
      <w:r>
        <w:rPr>
          <w:rFonts w:cs="Abz-2 (Badr)" w:hint="cs"/>
          <w:rtl/>
          <w:lang w:bidi="fa-IR"/>
        </w:rPr>
        <w:t>راجع: مطارح الأنظار،ج2،ص108 ـ کفاية الأُصول،ص211.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77777777" w:rsidR="008666ED" w:rsidRDefault="008666ED" w:rsidP="008666ED">
                          <w:pPr>
                            <w:bidi/>
                            <w:rPr>
                              <w:rFonts w:cs="B Mehr"/>
                            </w:rPr>
                          </w:pPr>
                          <w:r>
                            <w:rPr>
                              <w:rFonts w:cs="B Mehr" w:hint="cs"/>
                              <w:rtl/>
                            </w:rPr>
                            <w:t xml:space="preserve"> مبحث:    مفاهیم</w:t>
                          </w:r>
                        </w:p>
                        <w:p w14:paraId="0C1AB1FE" w14:textId="58D7F686" w:rsidR="008666ED" w:rsidRDefault="008666ED" w:rsidP="008666ED">
                          <w:pPr>
                            <w:bidi/>
                          </w:pPr>
                          <w:r>
                            <w:rPr>
                              <w:rFonts w:cs="B Mehr" w:hint="cs"/>
                              <w:rtl/>
                            </w:rPr>
                            <w:t xml:space="preserve">تاریخ :  </w:t>
                          </w:r>
                          <w:r w:rsidR="00015B20">
                            <w:rPr>
                              <w:rFonts w:cs="B Mehr" w:hint="cs"/>
                              <w:rtl/>
                              <w:lang w:bidi="fa-IR"/>
                            </w:rPr>
                            <w:t>دو</w:t>
                          </w:r>
                          <w:r w:rsidR="001F6F30">
                            <w:rPr>
                              <w:rFonts w:cs="B Mehr" w:hint="cs"/>
                              <w:rtl/>
                              <w:lang w:bidi="fa-IR"/>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015B20">
                            <w:rPr>
                              <w:rFonts w:cs="B Mehr" w:hint="cs"/>
                              <w:rtl/>
                              <w:lang w:bidi="fa-IR"/>
                            </w:rPr>
                            <w:t>7</w:t>
                          </w:r>
                          <w:r w:rsidR="0094174A">
                            <w:rPr>
                              <w:rFonts w:cs="B Mehr" w:hint="cs"/>
                              <w:rtl/>
                              <w:lang w:bidi="fa-IR"/>
                            </w:rPr>
                            <w:t xml:space="preserve">   </w:t>
                          </w:r>
                          <w:r w:rsidR="00B2630B">
                            <w:rPr>
                              <w:rFonts w:cs="B Mehr" w:hint="cs"/>
                              <w:rtl/>
                              <w:lang w:bidi="fa-IR"/>
                            </w:rPr>
                            <w:t>مهر</w:t>
                          </w:r>
                          <w:r>
                            <w:rPr>
                              <w:rFonts w:cs="B Mehr" w:hint="cs"/>
                              <w:rtl/>
                            </w:rPr>
                            <w:t xml:space="preserve"> ماه - 1404ه.ش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77777777" w:rsidR="008666ED" w:rsidRDefault="008666ED" w:rsidP="008666ED">
                    <w:pPr>
                      <w:bidi/>
                      <w:rPr>
                        <w:rFonts w:cs="B Mehr"/>
                      </w:rPr>
                    </w:pPr>
                    <w:r>
                      <w:rPr>
                        <w:rFonts w:cs="B Mehr" w:hint="cs"/>
                        <w:rtl/>
                      </w:rPr>
                      <w:t xml:space="preserve"> مبحث:    مفاهیم</w:t>
                    </w:r>
                  </w:p>
                  <w:p w14:paraId="0C1AB1FE" w14:textId="58D7F686" w:rsidR="008666ED" w:rsidRDefault="008666ED" w:rsidP="008666ED">
                    <w:pPr>
                      <w:bidi/>
                    </w:pPr>
                    <w:r>
                      <w:rPr>
                        <w:rFonts w:cs="B Mehr" w:hint="cs"/>
                        <w:rtl/>
                      </w:rPr>
                      <w:t xml:space="preserve">تاریخ :  </w:t>
                    </w:r>
                    <w:r w:rsidR="00015B20">
                      <w:rPr>
                        <w:rFonts w:cs="B Mehr" w:hint="cs"/>
                        <w:rtl/>
                        <w:lang w:bidi="fa-IR"/>
                      </w:rPr>
                      <w:t>دو</w:t>
                    </w:r>
                    <w:r w:rsidR="001F6F30">
                      <w:rPr>
                        <w:rFonts w:cs="B Mehr" w:hint="cs"/>
                        <w:rtl/>
                        <w:lang w:bidi="fa-IR"/>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015B20">
                      <w:rPr>
                        <w:rFonts w:cs="B Mehr" w:hint="cs"/>
                        <w:rtl/>
                        <w:lang w:bidi="fa-IR"/>
                      </w:rPr>
                      <w:t>7</w:t>
                    </w:r>
                    <w:r w:rsidR="0094174A">
                      <w:rPr>
                        <w:rFonts w:cs="B Mehr" w:hint="cs"/>
                        <w:rtl/>
                        <w:lang w:bidi="fa-IR"/>
                      </w:rPr>
                      <w:t xml:space="preserve">   </w:t>
                    </w:r>
                    <w:r w:rsidR="00B2630B">
                      <w:rPr>
                        <w:rFonts w:cs="B Mehr" w:hint="cs"/>
                        <w:rtl/>
                        <w:lang w:bidi="fa-IR"/>
                      </w:rPr>
                      <w:t>مهر</w:t>
                    </w:r>
                    <w:r>
                      <w:rPr>
                        <w:rFonts w:cs="B Mehr" w:hint="cs"/>
                        <w:rtl/>
                      </w:rPr>
                      <w:t xml:space="preserve"> ماه - 1404ه.ش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5B20"/>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66CD"/>
    <w:rsid w:val="002D688D"/>
    <w:rsid w:val="002E0167"/>
    <w:rsid w:val="002E0803"/>
    <w:rsid w:val="002E11CF"/>
    <w:rsid w:val="002E228B"/>
    <w:rsid w:val="002E514A"/>
    <w:rsid w:val="002E5DFD"/>
    <w:rsid w:val="002E6148"/>
    <w:rsid w:val="002E6DCF"/>
    <w:rsid w:val="002E7556"/>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1D5B"/>
    <w:rsid w:val="004B20CA"/>
    <w:rsid w:val="004B2E67"/>
    <w:rsid w:val="004B3C1F"/>
    <w:rsid w:val="004B3E69"/>
    <w:rsid w:val="004B5396"/>
    <w:rsid w:val="004B5FA4"/>
    <w:rsid w:val="004B626D"/>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D9E"/>
    <w:rsid w:val="00BA4E50"/>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4096</TotalTime>
  <Pages>1</Pages>
  <Words>1059</Words>
  <Characters>6038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1191</cp:revision>
  <cp:lastPrinted>2025-04-15T09:36:00Z</cp:lastPrinted>
  <dcterms:created xsi:type="dcterms:W3CDTF">2022-10-16T08:36:00Z</dcterms:created>
  <dcterms:modified xsi:type="dcterms:W3CDTF">2025-09-29T08:54:00Z</dcterms:modified>
</cp:coreProperties>
</file>