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2FD25" w14:textId="77777777" w:rsidR="001B38B4" w:rsidRDefault="001B38B4" w:rsidP="001B38B4">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7165BFE" w14:textId="77777777" w:rsidR="001B38B4" w:rsidRDefault="001B38B4" w:rsidP="001B38B4">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6FD3FA4F" w14:textId="77777777" w:rsidR="001B38B4" w:rsidRDefault="001B38B4" w:rsidP="001B38B4">
      <w:pPr>
        <w:widowControl w:val="0"/>
        <w:bidi/>
        <w:spacing w:after="240"/>
        <w:jc w:val="center"/>
        <w:rPr>
          <w:rFonts w:cs="B Mitra" w:hint="cs"/>
          <w:b/>
          <w:bCs/>
          <w:sz w:val="32"/>
          <w:szCs w:val="32"/>
          <w:rtl/>
          <w:lang w:bidi="fa-IR"/>
        </w:rPr>
      </w:pPr>
      <w:r>
        <w:rPr>
          <w:rFonts w:cs="B Mitra" w:hint="cs"/>
          <w:b/>
          <w:bCs/>
          <w:sz w:val="32"/>
          <w:szCs w:val="32"/>
          <w:rtl/>
          <w:lang w:bidi="fa-IR"/>
        </w:rPr>
        <w:t>جلسه 938</w:t>
      </w:r>
    </w:p>
    <w:bookmarkEnd w:id="0"/>
    <w:p w14:paraId="32369D24" w14:textId="77777777" w:rsidR="001B38B4" w:rsidRDefault="001B38B4" w:rsidP="001B38B4">
      <w:pPr>
        <w:widowControl w:val="0"/>
        <w:bidi/>
        <w:spacing w:before="240" w:line="240" w:lineRule="auto"/>
        <w:ind w:firstLine="289"/>
        <w:jc w:val="both"/>
        <w:rPr>
          <w:rFonts w:cs="2  Mitra" w:hint="cs"/>
          <w:sz w:val="28"/>
          <w:szCs w:val="28"/>
          <w:rtl/>
        </w:rPr>
      </w:pPr>
      <w:r>
        <w:rPr>
          <w:rFonts w:cs="2  Mitra" w:hint="cs"/>
          <w:sz w:val="28"/>
          <w:szCs w:val="28"/>
          <w:rtl/>
          <w:lang w:bidi="fa-IR"/>
        </w:rPr>
        <w:t>مرحوم آيت الله خویی در اشکال بر مدعای ابو حنيفه می</w:t>
      </w:r>
      <w:r>
        <w:rPr>
          <w:rFonts w:cs="2  Mitra" w:hint="cs"/>
          <w:sz w:val="28"/>
          <w:szCs w:val="28"/>
          <w:rtl/>
          <w:lang w:bidi="fa-IR"/>
        </w:rPr>
        <w:softHyphen/>
        <w:t xml:space="preserve">فرمايند: </w:t>
      </w:r>
      <w:r>
        <w:rPr>
          <w:rFonts w:cs="2  Mitra" w:hint="cs"/>
          <w:sz w:val="28"/>
          <w:szCs w:val="28"/>
          <w:rtl/>
        </w:rPr>
        <w:t>فهم عرفی از چنین ترکیبی آن است که مفاد آن به دو قضیه ـ یکی ایجابی و دیگری سلبی ـ بازمی‌گردد. مثلاً فرمایش معصوم(ع): «</w:t>
      </w:r>
      <w:r>
        <w:rPr>
          <w:rFonts w:cs="Abz-2 (Badr)" w:hint="cs"/>
          <w:sz w:val="28"/>
          <w:szCs w:val="28"/>
          <w:rtl/>
        </w:rPr>
        <w:t>لا صلاة إلا بطهور</w:t>
      </w:r>
      <w:r>
        <w:rPr>
          <w:rFonts w:cs="2  Mitra" w:hint="cs"/>
          <w:sz w:val="28"/>
          <w:szCs w:val="28"/>
          <w:rtl/>
        </w:rPr>
        <w:t>» منحلّ می‌شود به این دو جمله: «</w:t>
      </w:r>
      <w:r>
        <w:rPr>
          <w:rFonts w:cs="Abz-2 (Badr)" w:hint="cs"/>
          <w:sz w:val="28"/>
          <w:szCs w:val="28"/>
          <w:rtl/>
        </w:rPr>
        <w:t>إنّ الصلاة لا تتحقّق بدون الطهارة</w:t>
      </w:r>
      <w:r>
        <w:rPr>
          <w:rFonts w:cs="2  Mitra" w:hint="cs"/>
          <w:sz w:val="28"/>
          <w:szCs w:val="28"/>
          <w:rtl/>
        </w:rPr>
        <w:t>»، و «</w:t>
      </w:r>
      <w:r>
        <w:rPr>
          <w:rFonts w:cs="Abz-2 (Badr)" w:hint="cs"/>
          <w:sz w:val="28"/>
          <w:szCs w:val="28"/>
          <w:rtl/>
        </w:rPr>
        <w:t>إذا تحقّقت الصلاة فلا محالة تكون مع الطهارة</w:t>
      </w:r>
      <w:r>
        <w:rPr>
          <w:rFonts w:cs="2  Mitra" w:hint="cs"/>
          <w:sz w:val="28"/>
          <w:szCs w:val="28"/>
          <w:rtl/>
        </w:rPr>
        <w:t>».</w:t>
      </w:r>
    </w:p>
    <w:p w14:paraId="74372C0A" w14:textId="77777777" w:rsidR="001B38B4" w:rsidRDefault="001B38B4" w:rsidP="001B38B4">
      <w:pPr>
        <w:widowControl w:val="0"/>
        <w:bidi/>
        <w:spacing w:before="240" w:line="240" w:lineRule="auto"/>
        <w:ind w:firstLine="289"/>
        <w:jc w:val="both"/>
        <w:rPr>
          <w:rFonts w:cs="Abz-2 (Badr)" w:hint="cs"/>
          <w:sz w:val="28"/>
          <w:szCs w:val="28"/>
          <w:rtl/>
          <w:lang w:bidi="fa-IR"/>
        </w:rPr>
      </w:pPr>
      <w:r>
        <w:rPr>
          <w:rFonts w:cs="2  Mitra" w:hint="cs"/>
          <w:sz w:val="28"/>
          <w:szCs w:val="28"/>
          <w:rtl/>
        </w:rPr>
        <w:t>در این معنا نيز تفاوتی نیست که جمله در مقام اخبار باشد یا در مقام انشاء، همان‌گونه که متبادر از جمله «</w:t>
      </w:r>
      <w:r>
        <w:rPr>
          <w:rFonts w:cs="Abz-2 (Badr)" w:hint="cs"/>
          <w:sz w:val="28"/>
          <w:szCs w:val="28"/>
          <w:rtl/>
        </w:rPr>
        <w:t>لا صلاة إلا بطهور</w:t>
      </w:r>
      <w:r>
        <w:rPr>
          <w:rFonts w:cs="2  Mitra" w:hint="cs"/>
          <w:sz w:val="28"/>
          <w:szCs w:val="28"/>
          <w:rtl/>
        </w:rPr>
        <w:t>» این است که این جمله در مقام انشاء شرطیت طهارت برای نماز وارد شده است.</w:t>
      </w:r>
      <w:r>
        <w:rPr>
          <w:rStyle w:val="FootnoteReference"/>
          <w:rFonts w:cs="2  Mitra"/>
          <w:sz w:val="28"/>
          <w:szCs w:val="28"/>
          <w:rtl/>
        </w:rPr>
        <w:footnoteReference w:id="2"/>
      </w:r>
    </w:p>
    <w:p w14:paraId="03A18428" w14:textId="77777777" w:rsidR="001B38B4" w:rsidRDefault="001B38B4" w:rsidP="001B38B4">
      <w:pPr>
        <w:widowControl w:val="0"/>
        <w:bidi/>
        <w:spacing w:before="240" w:line="240" w:lineRule="auto"/>
        <w:ind w:firstLine="289"/>
        <w:jc w:val="both"/>
        <w:rPr>
          <w:rFonts w:cs="2  Mitra" w:hint="cs"/>
          <w:sz w:val="28"/>
          <w:szCs w:val="28"/>
          <w:rtl/>
          <w:lang w:bidi="fa-IR"/>
        </w:rPr>
      </w:pPr>
      <w:r>
        <w:rPr>
          <w:rFonts w:cs="2  Mitra" w:hint="cs"/>
          <w:sz w:val="28"/>
          <w:szCs w:val="28"/>
          <w:rtl/>
        </w:rPr>
        <w:t>امّا این دو جمله‌ای که مرحوم آیت‌الله خوئی به‌عنوان مرجع قضیه‌ی مذکور بیان کرده‌اند، چیزی جز نتیجه‌ی تقدیر گرفتن دو کلمه‌ی «</w:t>
      </w:r>
      <w:r>
        <w:rPr>
          <w:rFonts w:cs="Abz-2 (Badr)" w:hint="cs"/>
          <w:sz w:val="28"/>
          <w:szCs w:val="28"/>
          <w:rtl/>
        </w:rPr>
        <w:t>تامّة</w:t>
      </w:r>
      <w:r>
        <w:rPr>
          <w:rFonts w:cs="2  Mitra" w:hint="cs"/>
          <w:sz w:val="28"/>
          <w:szCs w:val="28"/>
          <w:rtl/>
        </w:rPr>
        <w:t>» و «</w:t>
      </w:r>
      <w:r>
        <w:rPr>
          <w:rFonts w:cs="Abz-2 (Badr)" w:hint="cs"/>
          <w:sz w:val="28"/>
          <w:szCs w:val="28"/>
          <w:rtl/>
        </w:rPr>
        <w:t>ممکنة</w:t>
      </w:r>
      <w:r>
        <w:rPr>
          <w:rFonts w:cs="2  Mitra" w:hint="cs"/>
          <w:sz w:val="28"/>
          <w:szCs w:val="28"/>
          <w:rtl/>
        </w:rPr>
        <w:t>» نیست؛ بدین معنا که جمله‌ی «</w:t>
      </w:r>
      <w:r>
        <w:rPr>
          <w:rFonts w:cs="Abz-2 (Badr)" w:hint="cs"/>
          <w:sz w:val="28"/>
          <w:szCs w:val="28"/>
          <w:rtl/>
        </w:rPr>
        <w:t>إنّ الصلاة لا تتحقّق بدون الطهارة</w:t>
      </w:r>
      <w:r>
        <w:rPr>
          <w:rFonts w:cs="2  Mitra" w:hint="cs"/>
          <w:sz w:val="28"/>
          <w:szCs w:val="28"/>
          <w:rtl/>
        </w:rPr>
        <w:t>» نتیجه‌ی عبارت «</w:t>
      </w:r>
      <w:r>
        <w:rPr>
          <w:rFonts w:cs="Abz-2 (Badr)" w:hint="cs"/>
          <w:sz w:val="28"/>
          <w:szCs w:val="28"/>
          <w:rtl/>
        </w:rPr>
        <w:t>لا صلاة تامّة إلا بطهور</w:t>
      </w:r>
      <w:r>
        <w:rPr>
          <w:rFonts w:cs="2  Mitra" w:hint="cs"/>
          <w:sz w:val="28"/>
          <w:szCs w:val="28"/>
          <w:rtl/>
        </w:rPr>
        <w:t>» است، و جمله‌ی «</w:t>
      </w:r>
      <w:r>
        <w:rPr>
          <w:rFonts w:cs="Abz-2 (Badr)" w:hint="cs"/>
          <w:sz w:val="28"/>
          <w:szCs w:val="28"/>
          <w:rtl/>
        </w:rPr>
        <w:t>إذا تحقّقت الصلاة فلا محالة تكون مع الطهارة</w:t>
      </w:r>
      <w:r>
        <w:rPr>
          <w:rFonts w:cs="2  Mitra" w:hint="cs"/>
          <w:sz w:val="28"/>
          <w:szCs w:val="28"/>
          <w:rtl/>
        </w:rPr>
        <w:t>» نتیجه‌ی عبارت «</w:t>
      </w:r>
      <w:r>
        <w:rPr>
          <w:rFonts w:cs="Abz-2 (Badr)" w:hint="cs"/>
          <w:sz w:val="28"/>
          <w:szCs w:val="28"/>
          <w:rtl/>
        </w:rPr>
        <w:t>لا صلاة ممکنة إلا بطهور</w:t>
      </w:r>
      <w:r>
        <w:rPr>
          <w:rFonts w:cs="2  Mitra" w:hint="cs"/>
          <w:sz w:val="28"/>
          <w:szCs w:val="28"/>
          <w:rtl/>
        </w:rPr>
        <w:t>» می‌باشد؛ زیرا عدم تحقق نماز بدون طهارت، لازمه‌ی تمام نبودن آن جز با طهارت است، و لزوم تحقق نماز با طهارت، لازمه‌ی عدم امکان تحقق آن جز با طهارت می</w:t>
      </w:r>
      <w:r>
        <w:rPr>
          <w:rFonts w:cs="2  Mitra" w:hint="cs"/>
          <w:sz w:val="28"/>
          <w:szCs w:val="28"/>
          <w:rtl/>
        </w:rPr>
        <w:softHyphen/>
        <w:t>باشد</w:t>
      </w:r>
      <w:r>
        <w:rPr>
          <w:rFonts w:cs="2  Mitra" w:hint="cs"/>
          <w:sz w:val="28"/>
          <w:szCs w:val="28"/>
          <w:rtl/>
          <w:lang w:bidi="fa-IR"/>
        </w:rPr>
        <w:t>.</w:t>
      </w:r>
    </w:p>
    <w:p w14:paraId="6657A435" w14:textId="77777777" w:rsidR="001B38B4" w:rsidRDefault="001B38B4" w:rsidP="001B38B4">
      <w:pPr>
        <w:widowControl w:val="0"/>
        <w:bidi/>
        <w:spacing w:before="240" w:line="240" w:lineRule="auto"/>
        <w:ind w:firstLine="289"/>
        <w:jc w:val="both"/>
        <w:rPr>
          <w:rFonts w:cs="2  Mitra" w:hint="cs"/>
          <w:sz w:val="28"/>
          <w:szCs w:val="28"/>
          <w:rtl/>
        </w:rPr>
      </w:pPr>
      <w:r>
        <w:rPr>
          <w:rFonts w:cs="2  Mitra" w:hint="cs"/>
          <w:sz w:val="28"/>
          <w:szCs w:val="28"/>
          <w:rtl/>
        </w:rPr>
        <w:t>اين در حالی است که معنای اول، لازمه‌ی معنای دوم است؛ زیرا هنگامی که نماز بدون طهارت ممکن نباشد، لازمه‌اش آن است که بدون طهارت تحقق نیز نیابد. بنابراین، معنای اول، مفهومی مستقل از معنای دوم نخواهد داشت.</w:t>
      </w:r>
    </w:p>
    <w:p w14:paraId="4B436F80" w14:textId="77777777" w:rsidR="001B38B4" w:rsidRDefault="001B38B4" w:rsidP="001B38B4">
      <w:pPr>
        <w:widowControl w:val="0"/>
        <w:bidi/>
        <w:spacing w:before="240" w:line="240" w:lineRule="auto"/>
        <w:ind w:firstLine="289"/>
        <w:jc w:val="both"/>
        <w:rPr>
          <w:rFonts w:cs="2  Mitra" w:hint="cs"/>
          <w:sz w:val="28"/>
          <w:szCs w:val="28"/>
          <w:rtl/>
          <w:lang w:bidi="fa-IR"/>
        </w:rPr>
      </w:pPr>
      <w:r>
        <w:rPr>
          <w:rFonts w:cs="2  Mitra" w:hint="cs"/>
          <w:sz w:val="28"/>
          <w:szCs w:val="28"/>
          <w:rtl/>
        </w:rPr>
        <w:t>ازاین رو همان‌گونه که مرحوم آخوند بیان فرموده‌اند، معنای اصلی «</w:t>
      </w:r>
      <w:r>
        <w:rPr>
          <w:rFonts w:cs="Abz-2 (Badr)" w:hint="cs"/>
          <w:sz w:val="28"/>
          <w:szCs w:val="28"/>
          <w:rtl/>
        </w:rPr>
        <w:t>لا صلاة إلا بطهور</w:t>
      </w:r>
      <w:r>
        <w:rPr>
          <w:rFonts w:cs="2  Mitra" w:hint="cs"/>
          <w:sz w:val="28"/>
          <w:szCs w:val="28"/>
          <w:rtl/>
        </w:rPr>
        <w:t>» چیزی جز «</w:t>
      </w:r>
      <w:r>
        <w:rPr>
          <w:rFonts w:cs="Abz-2 (Badr)" w:hint="cs"/>
          <w:sz w:val="28"/>
          <w:szCs w:val="28"/>
          <w:rtl/>
        </w:rPr>
        <w:t>لا صلاة ممکنة إلا بطهور</w:t>
      </w:r>
      <w:r>
        <w:rPr>
          <w:rFonts w:cs="2  Mitra" w:hint="cs"/>
          <w:sz w:val="28"/>
          <w:szCs w:val="28"/>
          <w:rtl/>
        </w:rPr>
        <w:t>» نیست</w:t>
      </w:r>
      <w:r>
        <w:rPr>
          <w:rFonts w:cs="2  Mitra" w:hint="cs"/>
          <w:sz w:val="28"/>
          <w:szCs w:val="28"/>
          <w:rtl/>
          <w:lang w:bidi="fa-IR"/>
        </w:rPr>
        <w:t>.</w:t>
      </w:r>
    </w:p>
    <w:p w14:paraId="75197111" w14:textId="77777777" w:rsidR="001B38B4" w:rsidRDefault="001B38B4" w:rsidP="001B38B4">
      <w:pPr>
        <w:widowControl w:val="0"/>
        <w:bidi/>
        <w:spacing w:before="240" w:line="240" w:lineRule="auto"/>
        <w:ind w:firstLine="289"/>
        <w:jc w:val="both"/>
        <w:rPr>
          <w:rFonts w:cs="2  Mitra" w:hint="cs"/>
          <w:sz w:val="28"/>
          <w:szCs w:val="28"/>
          <w:rtl/>
          <w:lang w:bidi="fa-IR"/>
        </w:rPr>
      </w:pPr>
      <w:r>
        <w:rPr>
          <w:rFonts w:cs="2  Mitra" w:hint="cs"/>
          <w:sz w:val="28"/>
          <w:szCs w:val="28"/>
          <w:rtl/>
        </w:rPr>
        <w:t>مرحوم امام نیز در استدلالی برای ردّ مدّعای ابوحنیفه می‌فرماید: جملاتی مانند: «</w:t>
      </w:r>
      <w:r>
        <w:rPr>
          <w:rFonts w:cs="Abz-2 (Badr)" w:hint="cs"/>
          <w:sz w:val="28"/>
          <w:szCs w:val="28"/>
          <w:rtl/>
        </w:rPr>
        <w:t>لا صلاة إلا بطهور</w:t>
      </w:r>
      <w:r>
        <w:rPr>
          <w:rFonts w:cs="2  Mitra" w:hint="cs"/>
          <w:sz w:val="28"/>
          <w:szCs w:val="28"/>
          <w:rtl/>
        </w:rPr>
        <w:t>» و «</w:t>
      </w:r>
      <w:r>
        <w:rPr>
          <w:rFonts w:cs="Abz-2 (Badr)" w:hint="cs"/>
          <w:sz w:val="28"/>
          <w:szCs w:val="28"/>
          <w:rtl/>
        </w:rPr>
        <w:t xml:space="preserve">لا صلاة إلا </w:t>
      </w:r>
      <w:r>
        <w:rPr>
          <w:rFonts w:cs="Abz-2 (Badr)" w:hint="cs"/>
          <w:sz w:val="28"/>
          <w:szCs w:val="28"/>
          <w:rtl/>
        </w:rPr>
        <w:lastRenderedPageBreak/>
        <w:t>بفاتحة الكتاب</w:t>
      </w:r>
      <w:r>
        <w:rPr>
          <w:rFonts w:cs="2  Mitra" w:hint="cs"/>
          <w:sz w:val="28"/>
          <w:szCs w:val="28"/>
          <w:rtl/>
        </w:rPr>
        <w:t xml:space="preserve">» در مقام ارشاد به شرطيت طهارت در نماز و این‌که </w:t>
      </w:r>
      <w:r>
        <w:rPr>
          <w:rFonts w:cs="Abz-2 (Badr)" w:hint="cs"/>
          <w:sz w:val="28"/>
          <w:szCs w:val="28"/>
          <w:rtl/>
        </w:rPr>
        <w:t>فاتحة الکتاب</w:t>
      </w:r>
      <w:r>
        <w:rPr>
          <w:rFonts w:cs="2  Mitra" w:hint="cs"/>
          <w:sz w:val="28"/>
          <w:szCs w:val="28"/>
          <w:rtl/>
        </w:rPr>
        <w:t xml:space="preserve"> جزئی از نماز است، وارد شده‌اند، نه در مقام اخبار از عقد سلبی و ایجابی؛ و در این‌گونه موارد، استثناء مفهومی ندارد</w:t>
      </w:r>
      <w:r>
        <w:rPr>
          <w:rFonts w:cs="2  Mitra" w:hint="cs"/>
          <w:sz w:val="28"/>
          <w:szCs w:val="28"/>
          <w:rtl/>
          <w:lang w:bidi="fa-IR"/>
        </w:rPr>
        <w:t>.</w:t>
      </w:r>
    </w:p>
    <w:p w14:paraId="6C1384C5" w14:textId="77777777" w:rsidR="001B38B4" w:rsidRDefault="001B38B4" w:rsidP="001B38B4">
      <w:pPr>
        <w:widowControl w:val="0"/>
        <w:bidi/>
        <w:spacing w:before="240" w:line="240" w:lineRule="auto"/>
        <w:ind w:firstLine="289"/>
        <w:jc w:val="both"/>
        <w:rPr>
          <w:rFonts w:cs="Abz-2 (Badr)" w:hint="cs"/>
          <w:sz w:val="28"/>
          <w:szCs w:val="28"/>
          <w:rtl/>
        </w:rPr>
      </w:pPr>
      <w:r>
        <w:rPr>
          <w:rFonts w:cs="2  Mitra" w:hint="cs"/>
          <w:sz w:val="28"/>
          <w:szCs w:val="28"/>
          <w:rtl/>
        </w:rPr>
        <w:t>بنابر این معنای جمله‌ی «</w:t>
      </w:r>
      <w:r>
        <w:rPr>
          <w:rFonts w:cs="Abz-2 (Badr)" w:hint="cs"/>
          <w:sz w:val="28"/>
          <w:szCs w:val="28"/>
          <w:rtl/>
        </w:rPr>
        <w:t>لا صلاة إلا بفاتحة الكتاب</w:t>
      </w:r>
      <w:r>
        <w:rPr>
          <w:rFonts w:cs="2  Mitra" w:hint="cs"/>
          <w:sz w:val="28"/>
          <w:szCs w:val="28"/>
          <w:rtl/>
        </w:rPr>
        <w:t xml:space="preserve">» این است که </w:t>
      </w:r>
      <w:r>
        <w:rPr>
          <w:rFonts w:cs="Abz-2 (Badr)" w:hint="cs"/>
          <w:sz w:val="28"/>
          <w:szCs w:val="28"/>
          <w:rtl/>
        </w:rPr>
        <w:t>فاتحة الکتاب</w:t>
      </w:r>
      <w:r>
        <w:rPr>
          <w:rFonts w:cs="2  Mitra" w:hint="cs"/>
          <w:sz w:val="28"/>
          <w:szCs w:val="28"/>
          <w:rtl/>
        </w:rPr>
        <w:t xml:space="preserve"> جزئی از نماز است و بدون آن، نماز، نماز نخواهد بود، نه این‌که </w:t>
      </w:r>
      <w:r>
        <w:rPr>
          <w:rFonts w:cs="Abz-2 (Badr)" w:hint="cs"/>
          <w:sz w:val="28"/>
          <w:szCs w:val="28"/>
          <w:rtl/>
        </w:rPr>
        <w:t>فاتحة الکتاب</w:t>
      </w:r>
      <w:r>
        <w:rPr>
          <w:rFonts w:cs="2  Mitra" w:hint="cs"/>
          <w:sz w:val="28"/>
          <w:szCs w:val="28"/>
          <w:rtl/>
        </w:rPr>
        <w:t xml:space="preserve"> تمام نماز باشد یا این‌که اگر نماز مشتمل بر آن بود، دیگر هیچ چیز به آن ضرر نرساند. و این جملات معنایی شبیه به مواردی مانند: «</w:t>
      </w:r>
      <w:r>
        <w:rPr>
          <w:rFonts w:cs="Abz-2 (Badr)" w:hint="cs"/>
          <w:sz w:val="28"/>
          <w:szCs w:val="28"/>
          <w:rtl/>
        </w:rPr>
        <w:t>جاءني القوم إلا زيداً</w:t>
      </w:r>
      <w:r>
        <w:rPr>
          <w:rFonts w:cs="2  Mitra" w:hint="cs"/>
          <w:sz w:val="28"/>
          <w:szCs w:val="28"/>
          <w:rtl/>
        </w:rPr>
        <w:t>» که در آنها استثناء دارای مفهوم است، ندارند.</w:t>
      </w:r>
      <w:r>
        <w:rPr>
          <w:rStyle w:val="FootnoteReference"/>
          <w:rFonts w:cs="2  Mitra"/>
          <w:sz w:val="28"/>
          <w:szCs w:val="28"/>
          <w:rtl/>
        </w:rPr>
        <w:footnoteReference w:id="3"/>
      </w:r>
    </w:p>
    <w:p w14:paraId="43D9737A" w14:textId="77777777" w:rsidR="001B38B4" w:rsidRDefault="001B38B4" w:rsidP="001B38B4">
      <w:pPr>
        <w:widowControl w:val="0"/>
        <w:bidi/>
        <w:spacing w:before="240"/>
        <w:ind w:firstLine="289"/>
        <w:jc w:val="both"/>
        <w:rPr>
          <w:rFonts w:cs="2  Mitra" w:hint="cs"/>
          <w:sz w:val="28"/>
          <w:szCs w:val="28"/>
          <w:rtl/>
        </w:rPr>
      </w:pPr>
      <w:r>
        <w:rPr>
          <w:rFonts w:cs="2  Mitra" w:hint="cs"/>
          <w:sz w:val="28"/>
          <w:szCs w:val="28"/>
          <w:rtl/>
        </w:rPr>
        <w:t>امّا اشکال فرمایش ایشان این است که از نظر وضع، هیچ تفاوتی میان جمله‌ی «</w:t>
      </w:r>
      <w:r>
        <w:rPr>
          <w:rFonts w:cs="Abz-2 (Badr)" w:hint="cs"/>
          <w:sz w:val="28"/>
          <w:szCs w:val="28"/>
          <w:rtl/>
        </w:rPr>
        <w:t>لا صلاة إلا بطهور</w:t>
      </w:r>
      <w:r>
        <w:rPr>
          <w:rFonts w:cs="2  Mitra" w:hint="cs"/>
          <w:sz w:val="28"/>
          <w:szCs w:val="28"/>
          <w:rtl/>
        </w:rPr>
        <w:t>» و جمله‌ی «</w:t>
      </w:r>
      <w:r>
        <w:rPr>
          <w:rFonts w:cs="Abz-2 (Badr)" w:hint="cs"/>
          <w:sz w:val="28"/>
          <w:szCs w:val="28"/>
          <w:rtl/>
        </w:rPr>
        <w:t>لا فتى إلا علي</w:t>
      </w:r>
      <w:r>
        <w:rPr>
          <w:rFonts w:cs="2  Mitra" w:hint="cs"/>
          <w:sz w:val="28"/>
          <w:szCs w:val="28"/>
          <w:rtl/>
        </w:rPr>
        <w:t>(ع)» وجود ندارد و همان‌گونه که در جمله‌ی دوم، اخبار از عقد سلبی و ایجابی وجود دارد، در جمله‌ی اول نیز چنین اخباری موجود است.</w:t>
      </w:r>
    </w:p>
    <w:p w14:paraId="082FD72E" w14:textId="77777777" w:rsidR="001B38B4" w:rsidRDefault="001B38B4" w:rsidP="001B38B4">
      <w:pPr>
        <w:widowControl w:val="0"/>
        <w:bidi/>
        <w:spacing w:before="240"/>
        <w:ind w:firstLine="289"/>
        <w:jc w:val="both"/>
        <w:rPr>
          <w:rFonts w:cs="2  Mitra" w:hint="cs"/>
          <w:sz w:val="28"/>
          <w:szCs w:val="28"/>
          <w:rtl/>
        </w:rPr>
      </w:pPr>
      <w:r>
        <w:rPr>
          <w:rFonts w:cs="2  Mitra" w:hint="cs"/>
          <w:sz w:val="28"/>
          <w:szCs w:val="28"/>
          <w:rtl/>
        </w:rPr>
        <w:t>اما اين که از جمله‌ی اول، شرطیت طهارت برای نماز فهمیده می‌شود، این امر مبتنی بر قرائن خارجیه است؛ بدین معنا که چون می‌دانیم نماز مرکّبی است مشتمل بر اجزاء و شرایط، از عقد سلبی آن درمی‌یابیم که طهارت شرط آن است، و این مطلب ارتباطی به معنای مستفاد از کلام که مبتنی بر وضع است ندارد.</w:t>
      </w:r>
    </w:p>
    <w:p w14:paraId="2E5EBA9B" w14:textId="77777777" w:rsidR="001B38B4" w:rsidRDefault="001B38B4" w:rsidP="001B38B4">
      <w:pPr>
        <w:widowControl w:val="0"/>
        <w:bidi/>
        <w:spacing w:before="240"/>
        <w:ind w:firstLine="289"/>
        <w:jc w:val="both"/>
        <w:rPr>
          <w:rFonts w:cs="2  Mitra" w:hint="cs"/>
          <w:spacing w:val="-4"/>
          <w:sz w:val="28"/>
          <w:szCs w:val="28"/>
          <w:rtl/>
        </w:rPr>
      </w:pPr>
      <w:r>
        <w:rPr>
          <w:rFonts w:cs="2  Mitra" w:hint="cs"/>
          <w:spacing w:val="-4"/>
          <w:sz w:val="28"/>
          <w:szCs w:val="28"/>
          <w:rtl/>
        </w:rPr>
        <w:t>بنابر این اگر در جمله‌ی دوم قائل به افاده‌ی مفهوم توسط استثناء شویم، باید در جمله‌ی اول نیز به همان معنا ملتزم گردیم.</w:t>
      </w:r>
    </w:p>
    <w:p w14:paraId="03299D4F" w14:textId="77777777" w:rsidR="001B38B4" w:rsidRDefault="001B38B4" w:rsidP="001B38B4">
      <w:pPr>
        <w:widowControl w:val="0"/>
        <w:bidi/>
        <w:spacing w:before="240"/>
        <w:ind w:firstLine="289"/>
        <w:jc w:val="both"/>
        <w:rPr>
          <w:rFonts w:cs="2  Mitra" w:hint="cs"/>
          <w:sz w:val="28"/>
          <w:szCs w:val="28"/>
          <w:rtl/>
          <w:lang w:bidi="fa-IR"/>
        </w:rPr>
      </w:pPr>
      <w:r>
        <w:rPr>
          <w:rFonts w:cs="2  Mitra" w:hint="cs"/>
          <w:sz w:val="28"/>
          <w:szCs w:val="28"/>
          <w:rtl/>
        </w:rPr>
        <w:t>برخی، برای اثبات این‌که حرف استثناء دلالت بر نفی حکم از غیر آنچه حکم در منطوق بر آن ثابت شده دارد، به عبارت «</w:t>
      </w:r>
      <w:r>
        <w:rPr>
          <w:rFonts w:cs="Abz-2 (Badr)" w:hint="cs"/>
          <w:sz w:val="28"/>
          <w:szCs w:val="28"/>
          <w:rtl/>
        </w:rPr>
        <w:t>لا إله إلا الله</w:t>
      </w:r>
      <w:r>
        <w:rPr>
          <w:rFonts w:cs="2  Mitra" w:hint="cs"/>
          <w:sz w:val="28"/>
          <w:szCs w:val="28"/>
          <w:rtl/>
        </w:rPr>
        <w:t>» استناد کرده‌اند؛ بدین بیان که این جمله دلالت بر شهادت به توحید دارد، یعنی هم الوهیت را برای خداوند متعال اثبات می‌کند و هم آن را از غیر او نفی می‌نماید</w:t>
      </w:r>
      <w:r>
        <w:rPr>
          <w:rFonts w:cs="2  Mitra" w:hint="cs"/>
          <w:sz w:val="28"/>
          <w:szCs w:val="28"/>
          <w:rtl/>
          <w:lang w:bidi="fa-IR"/>
        </w:rPr>
        <w:t>.</w:t>
      </w:r>
    </w:p>
    <w:p w14:paraId="6E84A0BC" w14:textId="77777777" w:rsidR="001B38B4" w:rsidRDefault="001B38B4" w:rsidP="001B38B4">
      <w:pPr>
        <w:widowControl w:val="0"/>
        <w:bidi/>
        <w:spacing w:before="240"/>
        <w:ind w:firstLine="289"/>
        <w:jc w:val="both"/>
        <w:rPr>
          <w:rFonts w:cs="2  Mitra" w:hint="cs"/>
          <w:sz w:val="28"/>
          <w:szCs w:val="28"/>
          <w:rtl/>
        </w:rPr>
      </w:pPr>
      <w:r>
        <w:rPr>
          <w:rFonts w:cs="2  Mitra" w:hint="cs"/>
          <w:sz w:val="28"/>
          <w:szCs w:val="28"/>
          <w:rtl/>
        </w:rPr>
        <w:t xml:space="preserve">امّا در اشکال بر این استدلال گفته شده است که دلالت این جمله بر توحید، وضعی نیست، بلکه یا مبتنی بر قرینه‌ی حالیه است ـ یعنی در مقامی که می‌دانیم گوینده در صدد بیان چنین مفهومی است، از این عبارت چنین برداشتی می‌شود ـ و یا تعبّدی است؛ زیرا ناچاریم برای «لا»ی نافیه در این عبارت، خبری در تقدير بگیریم که آن خبر یا «موجود» است و یا «ممکن». در حالی که فرض اول، این عبارت بر عدم امکان الوهیت برای غیر خداوند دلالتی ندارد، و در فرض دوم، وجود خداوند متعال </w:t>
      </w:r>
      <w:r>
        <w:rPr>
          <w:rFonts w:cs="2  Mitra" w:hint="cs"/>
          <w:sz w:val="28"/>
          <w:szCs w:val="28"/>
          <w:rtl/>
        </w:rPr>
        <w:lastRenderedPageBreak/>
        <w:t>را اثبات نمی‌کند و فقط دلالت بر امکان او دارد.</w:t>
      </w:r>
    </w:p>
    <w:p w14:paraId="71173F9C" w14:textId="77777777" w:rsidR="001B38B4" w:rsidRDefault="001B38B4" w:rsidP="001B38B4">
      <w:pPr>
        <w:widowControl w:val="0"/>
        <w:bidi/>
        <w:spacing w:before="240"/>
        <w:ind w:firstLine="289"/>
        <w:jc w:val="both"/>
        <w:rPr>
          <w:rFonts w:cs="2  Mitra"/>
          <w:sz w:val="28"/>
          <w:szCs w:val="28"/>
          <w:lang w:bidi="fa-IR"/>
        </w:rPr>
      </w:pPr>
      <w:r>
        <w:rPr>
          <w:rFonts w:cs="2  Mitra" w:hint="cs"/>
          <w:sz w:val="28"/>
          <w:szCs w:val="28"/>
          <w:rtl/>
          <w:lang w:bidi="fa-IR"/>
        </w:rPr>
        <w:t>مرحوم صاحب فصول به ادعای تعبدی بودن دلالت جمله مذکور پاسخی داده</w:t>
      </w:r>
      <w:r>
        <w:rPr>
          <w:rFonts w:cs="2  Mitra" w:hint="cs"/>
          <w:sz w:val="28"/>
          <w:szCs w:val="28"/>
          <w:rtl/>
          <w:lang w:bidi="fa-IR"/>
        </w:rPr>
        <w:softHyphen/>
        <w:t>اند که جلسه بعد آن را مطرح خواهيم کرد ان شاء الله.</w:t>
      </w:r>
    </w:p>
    <w:p w14:paraId="23F0496C" w14:textId="77777777" w:rsidR="001B38B4" w:rsidRDefault="001B38B4" w:rsidP="001B38B4">
      <w:pPr>
        <w:rPr>
          <w:rFonts w:cs="Abz-2 (Badr)" w:hint="cs"/>
          <w:sz w:val="28"/>
          <w:szCs w:val="28"/>
          <w:rtl/>
        </w:rPr>
      </w:pPr>
      <w:r>
        <w:rPr>
          <w:rFonts w:cs="Abz-2 (Badr)" w:hint="cs"/>
          <w:sz w:val="28"/>
          <w:szCs w:val="28"/>
          <w:rtl/>
        </w:rPr>
        <w:br w:type="page"/>
      </w:r>
    </w:p>
    <w:p w14:paraId="543D708D"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lastRenderedPageBreak/>
        <w:t>قال السيّد الخوئي في مقام الإشكال على مدّعى أبي حنيفة: إنّ الفهم العرفي من مثل هذا التركيب، رجوع مفاده إلى قضيّتين، إحداهما سلبيّة والأُخرى إيجابيّة؛ فمثلاً قول المعصوم</w:t>
      </w:r>
      <w:r>
        <w:rPr>
          <w:rFonts w:cs="Abz-2 (Badr)" w:hint="cs"/>
          <w:sz w:val="28"/>
          <w:szCs w:val="28"/>
          <w:rtl/>
          <w:lang w:bidi="fa-IR"/>
        </w:rPr>
        <w:t>(ع): «</w:t>
      </w:r>
      <w:r>
        <w:rPr>
          <w:rFonts w:cs="Abz-2 (Badr)" w:hint="cs"/>
          <w:sz w:val="28"/>
          <w:szCs w:val="28"/>
          <w:rtl/>
        </w:rPr>
        <w:t>لا صلاة إلّا بطهور» ينحلّ إلى جملتين: «إنّ الصلاة لا تتحقّق بلا طهارة»، و«إذا تحقّقت الصلاة فلا محالة تكون مع الطهارة». ولا يختلف الحال في ذلك بين كون الجملة إخباريّة أو إنشائيّة، كما أنّ المتبادر من جملة: «لا صلاة إلّا بطهور» أنّها واردة في مقام إنشاء شرطيّة الطهارة للصلاة.</w:t>
      </w:r>
      <w:r>
        <w:rPr>
          <w:rStyle w:val="FootnoteReference"/>
          <w:rFonts w:cs="2  Mitra"/>
          <w:sz w:val="28"/>
          <w:szCs w:val="28"/>
          <w:rtl/>
        </w:rPr>
        <w:footnoteReference w:id="4"/>
      </w:r>
    </w:p>
    <w:p w14:paraId="5413B387"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إلّا أنّ الجملتين اللتين ذكرهما مرجعاً للقضيّة المزبورة، ليستا في الحقيقة إلّا نتيجة تقدير لفظتي «تامّة» و«ممكنة»؛ فإنّ قولنا: «إنّ الصلاة لا تتحقّق بلا طهارة» إنّما هو حاصل قولنا: «لا صلاة تامّة إلّا بطهور»، كما أنّ قولنا: «إذا تحقّقت الصلاة فلا محالة تكون مع الطهارة» إنّما هو ثمرة قولنا: «لا صلاة ممكنة إلّا بطهور»، وذلك لأنّ عدم تحقّق الصلاة بلا طهارة لازم لعدم كونها تامّة إلّا مع الطهارة، كما أنّ لزوم تحقّقها مع الطهارة لازم لعدم إمكان تحقّقها بدونها. ومن الواضح أنّ المعنى الأوّل من لوازم الثاني، إذ متى كان تحقّق الصلاة بلا طهارة غير ممكن، لزم عدم تحقّقها كذلك. وعليه فلا يكون للمعنى الأوّل استقلال مفهومي وراء المعنى الثاني.</w:t>
      </w:r>
    </w:p>
    <w:p w14:paraId="12DB27E0"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وعليه فكما أفاد المحقّق الخراساني، ليس المراد الأصلي من قوله: «لا صلاة إلّا بطهور» إلّا «لا صلاة ممكنة إلّا بطهور.»</w:t>
      </w:r>
    </w:p>
    <w:p w14:paraId="7C956A14"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وقرّر السيّد الخميني في مقام ردّ مدّعى أبي حنيفة أنّ نحو قوله: «لا صلاة إلّا بطهور» و«لا صلاة إلّا بفاتحة الكتاب» إنّما ورد في مقام الإرشاد إلى شرطيّة الطهارة للصلاة وجزئيّة الفاتحة لها، لا في مقام الإخبار عن عقد سلبي وإيجابي، وأنّ الاستثناء في مثل هذه الموارد لا مفهوم له. وعليه فمفاد قوله: «لا صلاة إلّا بفاتحة الكتاب» أنّ الفاتحة جزء من الصلاة وأنّ الصلاة بدونها ليست بصلاة، لا أنّ الفاتحة تمام الصلاة، ولا أنّ الصلاة إذا اشتملت عليها لم يضرّ بها فقدان سائر الأجزاء والشرائط. فهذه التراكيب ليست من قبيل «جاءني القوم إلّا زيداً» حيث يكون للاستثناء</w:t>
      </w:r>
      <w:r>
        <w:rPr>
          <w:rFonts w:cs="Abz-2 (Badr)" w:hint="cs"/>
          <w:sz w:val="28"/>
          <w:szCs w:val="28"/>
          <w:lang w:bidi="fa-IR"/>
        </w:rPr>
        <w:t xml:space="preserve"> </w:t>
      </w:r>
      <w:r>
        <w:rPr>
          <w:rFonts w:cs="Abz-2 (Badr)" w:hint="cs"/>
          <w:sz w:val="28"/>
          <w:szCs w:val="28"/>
          <w:rtl/>
          <w:lang w:bidi="fa-IR"/>
        </w:rPr>
        <w:t xml:space="preserve">فيه </w:t>
      </w:r>
      <w:r>
        <w:rPr>
          <w:rFonts w:cs="Abz-2 (Badr)" w:hint="cs"/>
          <w:sz w:val="28"/>
          <w:szCs w:val="28"/>
          <w:rtl/>
        </w:rPr>
        <w:t>مفهوم معتبر.</w:t>
      </w:r>
      <w:r>
        <w:rPr>
          <w:rStyle w:val="FootnoteReference"/>
          <w:rFonts w:cs="2  Mitra"/>
          <w:sz w:val="28"/>
          <w:szCs w:val="28"/>
          <w:rtl/>
        </w:rPr>
        <w:footnoteReference w:id="5"/>
      </w:r>
    </w:p>
    <w:p w14:paraId="0B1379D4"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 xml:space="preserve">إلّا أنّ الإشكال على ما أفاده أنّه لا فرق </w:t>
      </w:r>
      <w:r>
        <w:rPr>
          <w:rFonts w:cs="Abz-2 (Badr)" w:hint="cs"/>
          <w:sz w:val="28"/>
          <w:szCs w:val="28"/>
          <w:rtl/>
          <w:lang w:bidi="fa-IR"/>
        </w:rPr>
        <w:t xml:space="preserve">بحسب الوضع </w:t>
      </w:r>
      <w:r>
        <w:rPr>
          <w:rFonts w:cs="Abz-2 (Badr)" w:hint="cs"/>
          <w:sz w:val="28"/>
          <w:szCs w:val="28"/>
          <w:rtl/>
        </w:rPr>
        <w:t>بين قولنا: «لا صلاة إلّا بطهور» وقولنا: «لا فتى إلّا عليّ</w:t>
      </w:r>
      <w:r>
        <w:rPr>
          <w:rFonts w:cs="Abz-2 (Badr)" w:hint="cs"/>
          <w:sz w:val="28"/>
          <w:szCs w:val="28"/>
          <w:rtl/>
          <w:lang w:bidi="fa-IR"/>
        </w:rPr>
        <w:t xml:space="preserve">(ع)» </w:t>
      </w:r>
      <w:r>
        <w:rPr>
          <w:rFonts w:cs="Abz-2 (Badr)" w:hint="cs"/>
          <w:sz w:val="28"/>
          <w:szCs w:val="28"/>
          <w:rtl/>
        </w:rPr>
        <w:t xml:space="preserve">، فكما أنّ الثاني إخبار عن عقد سلبي وإيجابي، كذلك الأوّل أيضاً. وأمّا استفادة شرطيّة الطهارة للصلاة من الجملة الأُولى فليس من حيث الوضع، بل من جهة القرائن الخارجيّة؛ إذ حيث إنّ الصلاة مركّب ذو أجزاء وشرائط، نفهم من عقد السلب </w:t>
      </w:r>
      <w:r>
        <w:rPr>
          <w:rFonts w:cs="Abz-2 (Badr)" w:hint="cs"/>
          <w:sz w:val="28"/>
          <w:szCs w:val="28"/>
          <w:rtl/>
        </w:rPr>
        <w:lastRenderedPageBreak/>
        <w:t>أنّ الطهارة شرط فيها، وهذا أجنبيّ عن نفس ما يستفاد من اللفظ وضعاً.</w:t>
      </w:r>
    </w:p>
    <w:p w14:paraId="05357789"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وعليه فلو التزمنا في الجملة الثانية بدلالة الاستثناء على المفهوم، لزم الالتزام به في الجملة الأُولى أيضاً.</w:t>
      </w:r>
    </w:p>
    <w:p w14:paraId="6F377B1D"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ثمّ إنّه قد استدلّ على أنّ أداة الاستثناء تدلّ على نفي الحكم الثابت للمستثنی منه عن المستثنی بقولهم: «لا إله إلّا الله»، بدعوى أنّ هذه الجملة ظاهرة في الشهادة بالتوحيد، بمعنى إثبات الأُلوهيّة لله تعالى ونفيها عن غيره معاً.</w:t>
      </w:r>
    </w:p>
    <w:p w14:paraId="3E7AF827"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لكن أُشكل على هذا الاستدلال بأنّ دلالة هذه الجملة على التوحيد ليست وضعيّة، بل إمّا أن تكون مبنيّة على قرينة حاليّة ـ بمعنى أنّه في مقام نعلم أنّ المتكلّم بصدد إفادة هذا المفاد فيفهم منه ذلك</w:t>
      </w:r>
      <w:r>
        <w:rPr>
          <w:rFonts w:cs="Abz-2 (Badr)" w:hint="cs"/>
          <w:sz w:val="28"/>
          <w:szCs w:val="28"/>
          <w:rtl/>
          <w:lang w:bidi="fa-IR"/>
        </w:rPr>
        <w:t xml:space="preserve"> </w:t>
      </w:r>
      <w:r>
        <w:rPr>
          <w:rFonts w:cs="Abz-2 (Badr)" w:hint="cs"/>
          <w:sz w:val="28"/>
          <w:szCs w:val="28"/>
          <w:rtl/>
        </w:rPr>
        <w:t>ـ وإمّا أن تكون تعبّديّة؛ إذ لابدّ من تقدير خبر لـ «لا» النافية في هذه الجملة، وذلك الخبر إمّا «موجود» أو «ممكن»؛ فعلى الأوّل لا دلالة لها على نفي إمكان الأُلوهيّة لغير الله تعالى، وعلى الثاني لا دلالة فيها على إثبات وجوده سبحانه، بل غاية ما تدلّ عليه إمكانه فقط.</w:t>
      </w:r>
    </w:p>
    <w:p w14:paraId="0E8ECA4F" w14:textId="77777777" w:rsidR="001B38B4" w:rsidRDefault="001B38B4" w:rsidP="001B38B4">
      <w:pPr>
        <w:widowControl w:val="0"/>
        <w:bidi/>
        <w:spacing w:after="0"/>
        <w:ind w:firstLine="284"/>
        <w:jc w:val="both"/>
        <w:rPr>
          <w:rFonts w:cs="Abz-2 (Badr)" w:hint="cs"/>
          <w:sz w:val="28"/>
          <w:szCs w:val="28"/>
          <w:rtl/>
        </w:rPr>
      </w:pPr>
      <w:r>
        <w:rPr>
          <w:rFonts w:cs="Abz-2 (Badr)" w:hint="cs"/>
          <w:sz w:val="28"/>
          <w:szCs w:val="28"/>
          <w:rtl/>
        </w:rPr>
        <w:t>وقد أجاب صاحب الفصول عن دعوى تعبديّة دلالة الجملة المذكورة بما سنعرضه في الجلسة الآتية إن شاء الله تعالى</w:t>
      </w:r>
      <w:r>
        <w:rPr>
          <w:rFonts w:cs="Abz-2 (Badr)" w:hint="cs"/>
          <w:sz w:val="28"/>
          <w:szCs w:val="28"/>
          <w:rtl/>
          <w:lang w:bidi="fa-IR"/>
        </w:rPr>
        <w:t>.</w:t>
      </w:r>
    </w:p>
    <w:p w14:paraId="16F3FFE2" w14:textId="77777777" w:rsidR="001B38B4" w:rsidRDefault="001B38B4" w:rsidP="001B38B4">
      <w:pPr>
        <w:widowControl w:val="0"/>
        <w:bidi/>
        <w:spacing w:after="0"/>
        <w:ind w:firstLine="284"/>
        <w:jc w:val="both"/>
        <w:rPr>
          <w:rFonts w:cs="Abz-2 (Badr)" w:hint="cs"/>
          <w:sz w:val="28"/>
          <w:szCs w:val="28"/>
          <w:rtl/>
          <w:lang w:bidi="fa-IR"/>
        </w:rPr>
      </w:pPr>
    </w:p>
    <w:p w14:paraId="7D9979DE" w14:textId="26D41A3F" w:rsidR="001B24FC" w:rsidRPr="001B38B4" w:rsidRDefault="001B24FC" w:rsidP="001B38B4">
      <w:pPr>
        <w:rPr>
          <w:rtl/>
        </w:rPr>
      </w:pPr>
    </w:p>
    <w:sectPr w:rsidR="001B24FC" w:rsidRPr="001B38B4"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176BE" w14:textId="77777777" w:rsidR="004B3E69" w:rsidRDefault="004B3E69" w:rsidP="00C336C5">
      <w:pPr>
        <w:spacing w:after="0" w:line="240" w:lineRule="auto"/>
      </w:pPr>
      <w:r>
        <w:separator/>
      </w:r>
    </w:p>
  </w:endnote>
  <w:endnote w:type="continuationSeparator" w:id="0">
    <w:p w14:paraId="001CFDA3" w14:textId="77777777" w:rsidR="004B3E69" w:rsidRDefault="004B3E69" w:rsidP="00C336C5">
      <w:pPr>
        <w:spacing w:after="0" w:line="240" w:lineRule="auto"/>
      </w:pPr>
      <w:r>
        <w:continuationSeparator/>
      </w:r>
    </w:p>
  </w:endnote>
  <w:endnote w:type="continuationNotice" w:id="1">
    <w:p w14:paraId="389F779E" w14:textId="77777777" w:rsidR="004B3E69" w:rsidRDefault="004B3E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F59F" w14:textId="77777777" w:rsidR="00B26C06" w:rsidRDefault="00B26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3714" w14:textId="77777777" w:rsidR="00B26C06" w:rsidRDefault="00B26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1DC8F" w14:textId="77777777" w:rsidR="004B3E69" w:rsidRDefault="004B3E69" w:rsidP="00C336C5">
      <w:pPr>
        <w:bidi/>
        <w:spacing w:after="0" w:line="240" w:lineRule="auto"/>
      </w:pPr>
      <w:r>
        <w:separator/>
      </w:r>
    </w:p>
  </w:footnote>
  <w:footnote w:type="continuationSeparator" w:id="0">
    <w:p w14:paraId="6544219E" w14:textId="77777777" w:rsidR="004B3E69" w:rsidRDefault="004B3E69" w:rsidP="00C336C5">
      <w:pPr>
        <w:spacing w:after="0" w:line="240" w:lineRule="auto"/>
      </w:pPr>
      <w:r>
        <w:continuationSeparator/>
      </w:r>
    </w:p>
  </w:footnote>
  <w:footnote w:type="continuationNotice" w:id="1">
    <w:p w14:paraId="544AE6C9" w14:textId="77777777" w:rsidR="004B3E69" w:rsidRDefault="004B3E69">
      <w:pPr>
        <w:spacing w:after="0" w:line="240" w:lineRule="auto"/>
      </w:pPr>
    </w:p>
  </w:footnote>
  <w:footnote w:id="2">
    <w:p w14:paraId="29AC4A02" w14:textId="77777777" w:rsidR="001B38B4" w:rsidRDefault="001B38B4" w:rsidP="001B38B4">
      <w:pPr>
        <w:pStyle w:val="FootnoteText"/>
        <w:bidi/>
        <w:jc w:val="left"/>
        <w:rPr>
          <w:rFonts w:cs="Abz-2 (Badr)" w:hint="cs"/>
          <w:rtl/>
          <w:lang w:bidi="fa-IR"/>
        </w:rPr>
      </w:pPr>
      <w:r>
        <w:rPr>
          <w:rStyle w:val="FootnoteReference"/>
          <w:rFonts w:cs="Abz-2 (Badr)"/>
        </w:rPr>
        <w:footnoteRef/>
      </w:r>
      <w:r>
        <w:rPr>
          <w:rFonts w:cs="Abz-2 (Badr)" w:hint="cs"/>
          <w:rtl/>
          <w:lang w:bidi="fa-IR"/>
        </w:rPr>
        <w:t xml:space="preserve"> ـ راجع: محاضرات في أُصول الفقه،ج4،ص294.</w:t>
      </w:r>
    </w:p>
  </w:footnote>
  <w:footnote w:id="3">
    <w:p w14:paraId="519FFE73" w14:textId="77777777" w:rsidR="001B38B4" w:rsidRDefault="001B38B4" w:rsidP="001B38B4">
      <w:pPr>
        <w:pStyle w:val="FootnoteText"/>
        <w:bidi/>
        <w:jc w:val="left"/>
        <w:rPr>
          <w:rFonts w:cs="Abz-2 (Badr)" w:hint="cs"/>
          <w:rtl/>
          <w:lang w:bidi="fa-IR"/>
        </w:rPr>
      </w:pPr>
      <w:r>
        <w:rPr>
          <w:rStyle w:val="FootnoteReference"/>
          <w:rFonts w:cs="Abz-2 (Badr)"/>
        </w:rPr>
        <w:footnoteRef/>
      </w:r>
      <w:r>
        <w:rPr>
          <w:rFonts w:cs="Abz-2 (Badr)" w:hint="cs"/>
          <w:rtl/>
          <w:lang w:bidi="fa-IR"/>
        </w:rPr>
        <w:t xml:space="preserve"> ـ </w:t>
      </w:r>
      <w:r>
        <w:rPr>
          <w:rFonts w:cs="Abz-2 (Badr)" w:hint="cs"/>
          <w:rtl/>
          <w:lang w:bidi="fa-IR"/>
        </w:rPr>
        <w:t>راجع: مناهج الوصول،ج2،ص225 و 226.</w:t>
      </w:r>
    </w:p>
  </w:footnote>
  <w:footnote w:id="4">
    <w:p w14:paraId="01F165D0" w14:textId="77777777" w:rsidR="001B38B4" w:rsidRDefault="001B38B4" w:rsidP="001B38B4">
      <w:pPr>
        <w:pStyle w:val="FootnoteText"/>
        <w:bidi/>
        <w:jc w:val="left"/>
        <w:rPr>
          <w:rFonts w:cs="Abz-2 (Badr)" w:hint="cs"/>
          <w:rtl/>
          <w:lang w:bidi="fa-IR"/>
        </w:rPr>
      </w:pPr>
      <w:r>
        <w:rPr>
          <w:rStyle w:val="FootnoteReference"/>
          <w:rFonts w:cs="Abz-2 (Badr)"/>
        </w:rPr>
        <w:footnoteRef/>
      </w:r>
      <w:r>
        <w:rPr>
          <w:rFonts w:cs="Abz-2 (Badr)" w:hint="cs"/>
          <w:rtl/>
          <w:lang w:bidi="fa-IR"/>
        </w:rPr>
        <w:t xml:space="preserve"> ـ </w:t>
      </w:r>
      <w:r>
        <w:rPr>
          <w:rFonts w:cs="Abz-2 (Badr)" w:hint="cs"/>
          <w:rtl/>
          <w:lang w:bidi="fa-IR"/>
        </w:rPr>
        <w:t>راجع: محاضرات في أُصول الفقه،ج4،ص294.</w:t>
      </w:r>
    </w:p>
  </w:footnote>
  <w:footnote w:id="5">
    <w:p w14:paraId="24DB7C7C" w14:textId="77777777" w:rsidR="001B38B4" w:rsidRDefault="001B38B4" w:rsidP="001B38B4">
      <w:pPr>
        <w:pStyle w:val="FootnoteText"/>
        <w:bidi/>
        <w:jc w:val="left"/>
        <w:rPr>
          <w:rFonts w:cs="Abz-2 (Badr)" w:hint="cs"/>
          <w:rtl/>
          <w:lang w:bidi="fa-IR"/>
        </w:rPr>
      </w:pPr>
      <w:r>
        <w:rPr>
          <w:rStyle w:val="FootnoteReference"/>
          <w:rFonts w:cs="Abz-2 (Badr)"/>
        </w:rPr>
        <w:footnoteRef/>
      </w:r>
      <w:r>
        <w:rPr>
          <w:rFonts w:cs="Abz-2 (Badr)" w:hint="cs"/>
          <w:rtl/>
          <w:lang w:bidi="fa-IR"/>
        </w:rPr>
        <w:t xml:space="preserve"> ـ </w:t>
      </w:r>
      <w:r>
        <w:rPr>
          <w:rFonts w:cs="Abz-2 (Badr)" w:hint="cs"/>
          <w:rtl/>
          <w:lang w:bidi="fa-IR"/>
        </w:rPr>
        <w:t>راجع: مناهج الوصول،ج2،ص225 و 226.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9FEC" w14:textId="77777777" w:rsidR="00B26C06" w:rsidRDefault="00B26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08C0F18F" w:rsidR="008666ED" w:rsidRDefault="008666ED" w:rsidP="008666ED">
                          <w:pPr>
                            <w:bidi/>
                          </w:pPr>
                          <w:r>
                            <w:rPr>
                              <w:rFonts w:cs="B Mehr" w:hint="cs"/>
                              <w:rtl/>
                            </w:rPr>
                            <w:t xml:space="preserve">تاریخ :  </w:t>
                          </w:r>
                          <w:r>
                            <w:rPr>
                              <w:rFonts w:cs="B Mehr" w:hint="cs"/>
                              <w:rtl/>
                              <w:lang w:bidi="fa-IR"/>
                            </w:rPr>
                            <w:t xml:space="preserve"> </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1B38B4">
                            <w:rPr>
                              <w:rFonts w:cs="B Mehr" w:hint="cs"/>
                              <w:rtl/>
                              <w:lang w:bidi="fa-IR"/>
                            </w:rPr>
                            <w:t>5</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08C0F18F" w:rsidR="008666ED" w:rsidRDefault="008666ED" w:rsidP="008666ED">
                    <w:pPr>
                      <w:bidi/>
                    </w:pPr>
                    <w:r>
                      <w:rPr>
                        <w:rFonts w:cs="B Mehr" w:hint="cs"/>
                        <w:rtl/>
                      </w:rPr>
                      <w:t xml:space="preserve">تاریخ :  </w:t>
                    </w:r>
                    <w:r>
                      <w:rPr>
                        <w:rFonts w:cs="B Mehr" w:hint="cs"/>
                        <w:rtl/>
                        <w:lang w:bidi="fa-IR"/>
                      </w:rPr>
                      <w:t xml:space="preserve"> </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1B38B4">
                      <w:rPr>
                        <w:rFonts w:cs="B Mehr" w:hint="cs"/>
                        <w:rtl/>
                        <w:lang w:bidi="fa-IR"/>
                      </w:rPr>
                      <w:t>5</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C5A3" w14:textId="77777777" w:rsidR="00B26C06" w:rsidRDefault="00B26C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4094</TotalTime>
  <Pages>1</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1188</cp:revision>
  <cp:lastPrinted>2025-04-15T09:36:00Z</cp:lastPrinted>
  <dcterms:created xsi:type="dcterms:W3CDTF">2022-10-16T08:36:00Z</dcterms:created>
  <dcterms:modified xsi:type="dcterms:W3CDTF">2025-09-27T09:57:00Z</dcterms:modified>
</cp:coreProperties>
</file>