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6D36" w14:textId="77777777" w:rsidR="00B2630B" w:rsidRPr="00C27AEE" w:rsidRDefault="00B2630B" w:rsidP="00B2630B">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4037AD39" w14:textId="77777777" w:rsidR="00B2630B" w:rsidRDefault="00B2630B" w:rsidP="00B2630B">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32FD402B" w14:textId="77777777" w:rsidR="00B2630B" w:rsidRDefault="00B2630B" w:rsidP="00B2630B">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936</w:t>
      </w:r>
    </w:p>
    <w:bookmarkEnd w:id="0"/>
    <w:p w14:paraId="38939101" w14:textId="77777777" w:rsidR="00B2630B" w:rsidRDefault="00B2630B" w:rsidP="00B2630B">
      <w:pPr>
        <w:widowControl w:val="0"/>
        <w:bidi/>
        <w:spacing w:before="240" w:line="259" w:lineRule="auto"/>
        <w:ind w:firstLine="289"/>
        <w:jc w:val="both"/>
        <w:rPr>
          <w:rFonts w:ascii="Amiri" w:hAnsi="Amiri" w:cs="Amiri"/>
          <w:b/>
          <w:bCs/>
          <w:sz w:val="24"/>
          <w:szCs w:val="24"/>
          <w:rtl/>
          <w:lang w:bidi="fa-IR"/>
        </w:rPr>
      </w:pPr>
    </w:p>
    <w:p w14:paraId="102EB5F9" w14:textId="77777777" w:rsidR="00B2630B" w:rsidRPr="00793CF2" w:rsidRDefault="00B2630B" w:rsidP="00B2630B">
      <w:pPr>
        <w:widowControl w:val="0"/>
        <w:bidi/>
        <w:spacing w:line="264" w:lineRule="auto"/>
        <w:ind w:firstLine="284"/>
        <w:jc w:val="center"/>
        <w:rPr>
          <w:rFonts w:cs="B Mitra"/>
          <w:b/>
          <w:bCs/>
          <w:sz w:val="32"/>
          <w:szCs w:val="32"/>
          <w:rtl/>
          <w:lang w:bidi="fa-IR"/>
        </w:rPr>
      </w:pPr>
      <w:r w:rsidRPr="00793CF2">
        <w:rPr>
          <w:rFonts w:cs="B Mitra" w:hint="cs"/>
          <w:b/>
          <w:bCs/>
          <w:sz w:val="32"/>
          <w:szCs w:val="32"/>
          <w:rtl/>
          <w:lang w:bidi="fa-IR"/>
        </w:rPr>
        <w:t xml:space="preserve">مفهوم </w:t>
      </w:r>
      <w:r>
        <w:rPr>
          <w:rFonts w:cs="B Mitra" w:hint="cs"/>
          <w:b/>
          <w:bCs/>
          <w:sz w:val="32"/>
          <w:szCs w:val="32"/>
          <w:rtl/>
          <w:lang w:bidi="fa-IR"/>
        </w:rPr>
        <w:t>حصر</w:t>
      </w:r>
    </w:p>
    <w:p w14:paraId="6B07C66E" w14:textId="77777777" w:rsidR="00B2630B" w:rsidRDefault="00B2630B" w:rsidP="00B2630B">
      <w:pPr>
        <w:widowControl w:val="0"/>
        <w:bidi/>
        <w:spacing w:before="240" w:line="254" w:lineRule="auto"/>
        <w:ind w:firstLine="289"/>
        <w:jc w:val="both"/>
        <w:rPr>
          <w:rFonts w:cs="2  Mitra"/>
          <w:sz w:val="28"/>
          <w:szCs w:val="28"/>
          <w:rtl/>
          <w:lang w:bidi="fa-IR"/>
        </w:rPr>
      </w:pPr>
      <w:r w:rsidRPr="0083106A">
        <w:rPr>
          <w:rFonts w:cs="2  Mitra"/>
          <w:sz w:val="28"/>
          <w:szCs w:val="28"/>
          <w:rtl/>
        </w:rPr>
        <w:t>در این مبحث به بررسی دلالت برخی از ادوات حصر بر مفهوم می‌پردازیم که ادات استثناء نیز از جمله آن‌هاست</w:t>
      </w:r>
      <w:r>
        <w:rPr>
          <w:rFonts w:cs="2  Mitra" w:hint="cs"/>
          <w:sz w:val="28"/>
          <w:szCs w:val="28"/>
          <w:rtl/>
          <w:lang w:bidi="fa-IR"/>
        </w:rPr>
        <w:t>.</w:t>
      </w:r>
    </w:p>
    <w:p w14:paraId="245453E9" w14:textId="77777777" w:rsidR="00B2630B" w:rsidRDefault="00B2630B" w:rsidP="00B2630B">
      <w:pPr>
        <w:widowControl w:val="0"/>
        <w:bidi/>
        <w:spacing w:before="240" w:line="254" w:lineRule="auto"/>
        <w:ind w:firstLine="289"/>
        <w:jc w:val="both"/>
        <w:rPr>
          <w:rFonts w:cs="2  Mitra"/>
          <w:sz w:val="28"/>
          <w:szCs w:val="28"/>
          <w:rtl/>
        </w:rPr>
      </w:pPr>
      <w:r w:rsidRPr="0083106A">
        <w:rPr>
          <w:rFonts w:cs="2  Mitra"/>
          <w:sz w:val="28"/>
          <w:szCs w:val="28"/>
          <w:rtl/>
        </w:rPr>
        <w:t>تردیدی نیست که لفظ «إلا» هرگاه در سیاق اثبات حکم برای مستثنی‌منه به‌کار رود، دلالت بر نفی حکم از مستثنی دارد، و هرگاه در سیاق نفی حکم از مستثنی‌منه استعمال شود، بر اثبات حکم برای مستثنی دلالت می‌کند. به‌عنوان مثال، هنگامی که گفته می‌شود: «</w:t>
      </w:r>
      <w:r w:rsidRPr="003A5A8F">
        <w:rPr>
          <w:rFonts w:cs="Abz-2 (Badr)"/>
          <w:sz w:val="28"/>
          <w:szCs w:val="28"/>
          <w:rtl/>
        </w:rPr>
        <w:t>جاء القوم إلا ز</w:t>
      </w:r>
      <w:r>
        <w:rPr>
          <w:rFonts w:cs="Abz-2 (Badr)" w:hint="cs"/>
          <w:sz w:val="28"/>
          <w:szCs w:val="28"/>
          <w:rtl/>
        </w:rPr>
        <w:t>ي</w:t>
      </w:r>
      <w:r w:rsidRPr="003A5A8F">
        <w:rPr>
          <w:rFonts w:cs="Abz-2 (Badr)"/>
          <w:sz w:val="28"/>
          <w:szCs w:val="28"/>
          <w:rtl/>
        </w:rPr>
        <w:t>داً</w:t>
      </w:r>
      <w:r w:rsidRPr="0083106A">
        <w:rPr>
          <w:rFonts w:cs="2  Mitra"/>
          <w:sz w:val="28"/>
          <w:szCs w:val="28"/>
          <w:rtl/>
        </w:rPr>
        <w:t>»، بی‌گمان مفاد آن این است که «زید» برخلاف سایر افراد، نیامده است</w:t>
      </w:r>
      <w:r w:rsidRPr="0083106A">
        <w:rPr>
          <w:rFonts w:cs="2  Mitra"/>
          <w:sz w:val="28"/>
          <w:szCs w:val="28"/>
          <w:lang w:bidi="fa-IR"/>
        </w:rPr>
        <w:t>.</w:t>
      </w:r>
      <w:r w:rsidRPr="0083106A">
        <w:rPr>
          <w:rFonts w:cs="2  Mitra"/>
          <w:sz w:val="28"/>
          <w:szCs w:val="28"/>
          <w:lang w:bidi="fa-IR"/>
        </w:rPr>
        <w:br/>
      </w:r>
      <w:r w:rsidRPr="0083106A">
        <w:rPr>
          <w:rFonts w:cs="2  Mitra"/>
          <w:sz w:val="28"/>
          <w:szCs w:val="28"/>
          <w:rtl/>
        </w:rPr>
        <w:t>البته باید توجه داشت که لفظ «إلا» گاهی در معنای وصفی و به معنای «غیر» نیز استعمال می‌شود؛ مانند آیه‌ی شریفه</w:t>
      </w:r>
      <w:r>
        <w:rPr>
          <w:rFonts w:cs="2  Mitra" w:hint="cs"/>
          <w:sz w:val="28"/>
          <w:szCs w:val="28"/>
          <w:rtl/>
          <w:lang w:bidi="fa-IR"/>
        </w:rPr>
        <w:t>: «</w:t>
      </w:r>
      <w:r w:rsidRPr="00D77557">
        <w:rPr>
          <w:rFonts w:cs="QuranTaha" w:hint="cs"/>
          <w:sz w:val="26"/>
          <w:szCs w:val="26"/>
          <w:rtl/>
        </w:rPr>
        <w:t>لَوْ كَـانَ فِيهِمَا آلِهَةٌ إِلَّا اللَّهُ لَفَسَدَتَا</w:t>
      </w:r>
      <w:r>
        <w:rPr>
          <w:rFonts w:cs="2  Mitra" w:hint="cs"/>
          <w:sz w:val="28"/>
          <w:szCs w:val="28"/>
          <w:rtl/>
        </w:rPr>
        <w:t>»</w:t>
      </w:r>
      <w:r>
        <w:rPr>
          <w:rStyle w:val="FootnoteReference"/>
          <w:rFonts w:cs="2  Mitra"/>
          <w:sz w:val="28"/>
          <w:szCs w:val="28"/>
          <w:rtl/>
        </w:rPr>
        <w:footnoteReference w:id="2"/>
      </w:r>
      <w:r>
        <w:rPr>
          <w:rFonts w:cs="2  Mitra" w:hint="cs"/>
          <w:sz w:val="28"/>
          <w:szCs w:val="28"/>
          <w:rtl/>
        </w:rPr>
        <w:t xml:space="preserve"> </w:t>
      </w:r>
      <w:r w:rsidRPr="0083106A">
        <w:rPr>
          <w:rFonts w:cs="2  Mitra"/>
          <w:sz w:val="28"/>
          <w:szCs w:val="28"/>
          <w:rtl/>
        </w:rPr>
        <w:t>که در این‌گونه موارد از ادوات استثناء به‌شمار نمی‌آید و معنای پیش‌گفته از آن برداشت نمی‌شود؛ از این</w:t>
      </w:r>
      <w:r>
        <w:rPr>
          <w:rFonts w:cs="2  Mitra" w:hint="cs"/>
          <w:sz w:val="28"/>
          <w:szCs w:val="28"/>
          <w:rtl/>
        </w:rPr>
        <w:t xml:space="preserve"> </w:t>
      </w:r>
      <w:r w:rsidRPr="0083106A">
        <w:rPr>
          <w:rFonts w:cs="2  Mitra"/>
          <w:sz w:val="28"/>
          <w:szCs w:val="28"/>
          <w:rtl/>
        </w:rPr>
        <w:t>‌رو گفته‌اند هرگاه «إلا» در معنای وصفی به‌کار رود، از دایره‌ی بحث مفاهیم خارج خواهد بود</w:t>
      </w:r>
      <w:r>
        <w:rPr>
          <w:rStyle w:val="FootnoteReference"/>
          <w:rFonts w:cs="2  Mitra"/>
          <w:sz w:val="28"/>
          <w:szCs w:val="28"/>
          <w:rtl/>
        </w:rPr>
        <w:footnoteReference w:id="3"/>
      </w:r>
      <w:r>
        <w:rPr>
          <w:rFonts w:cs="2  Mitra" w:hint="cs"/>
          <w:sz w:val="28"/>
          <w:szCs w:val="28"/>
          <w:rtl/>
        </w:rPr>
        <w:t>.</w:t>
      </w:r>
    </w:p>
    <w:p w14:paraId="5223E57D" w14:textId="77777777" w:rsidR="00B2630B" w:rsidRDefault="00B2630B" w:rsidP="00B2630B">
      <w:pPr>
        <w:widowControl w:val="0"/>
        <w:bidi/>
        <w:spacing w:before="240" w:line="254" w:lineRule="auto"/>
        <w:ind w:firstLine="289"/>
        <w:jc w:val="both"/>
        <w:rPr>
          <w:rFonts w:cs="2  Mitra"/>
          <w:sz w:val="28"/>
          <w:szCs w:val="28"/>
          <w:rtl/>
        </w:rPr>
      </w:pPr>
      <w:r w:rsidRPr="0083106A">
        <w:rPr>
          <w:rFonts w:cs="2  Mitra"/>
          <w:sz w:val="28"/>
          <w:szCs w:val="28"/>
          <w:rtl/>
        </w:rPr>
        <w:t>ممکن است گفته شود: هرچند «إلا» در صورتی که به معنای وصفی استعمال گردد، بر نفی حکمِ مذکور در منطوق دلالت نمی‌کند، ولی بر معنای دیگری دلالت دارد، و آن مفروغیت از وجود آن چیزی است که پس از آن ذکر شده است؛ مثلاً در آیه‌ی شریفه‌ی یاد</w:t>
      </w:r>
      <w:r>
        <w:rPr>
          <w:rFonts w:cs="2  Mitra" w:hint="cs"/>
          <w:sz w:val="28"/>
          <w:szCs w:val="28"/>
          <w:rtl/>
        </w:rPr>
        <w:t xml:space="preserve"> </w:t>
      </w:r>
      <w:r w:rsidRPr="0083106A">
        <w:rPr>
          <w:rFonts w:cs="2  Mitra"/>
          <w:sz w:val="28"/>
          <w:szCs w:val="28"/>
          <w:rtl/>
        </w:rPr>
        <w:t>شده، «إلا» دلالت دارد بر این‌که وجود خداوند متعال مفروغ‌عنه فرض شده است؛ زیرا معنای آیه چنین نیست که اگر به جای خداوند، خدای دیگری وجود داشت موجب فساد می‌شد، بلکه معنایش این است که اگر علاوه بر خداوند متعال، خدای دیگری می‌بود، فساد پدید می‌آمد. پس وجود خداوند به واسطه‌ی ذکر «إلا» در این جمله، مفروغ</w:t>
      </w:r>
      <w:r>
        <w:rPr>
          <w:rFonts w:cs="2  Mitra" w:hint="cs"/>
          <w:sz w:val="28"/>
          <w:szCs w:val="28"/>
          <w:rtl/>
          <w:lang w:bidi="fa-IR"/>
        </w:rPr>
        <w:t>‎</w:t>
      </w:r>
      <w:r w:rsidRPr="0083106A">
        <w:rPr>
          <w:rFonts w:cs="2  Mitra"/>
          <w:sz w:val="28"/>
          <w:szCs w:val="28"/>
          <w:rtl/>
        </w:rPr>
        <w:t xml:space="preserve">عنه انگاشته </w:t>
      </w:r>
      <w:r w:rsidRPr="0083106A">
        <w:rPr>
          <w:rFonts w:cs="2  Mitra"/>
          <w:sz w:val="28"/>
          <w:szCs w:val="28"/>
          <w:rtl/>
        </w:rPr>
        <w:lastRenderedPageBreak/>
        <w:t>شده است</w:t>
      </w:r>
      <w:r>
        <w:rPr>
          <w:rFonts w:cs="2  Mitra" w:hint="cs"/>
          <w:sz w:val="28"/>
          <w:szCs w:val="28"/>
          <w:rtl/>
        </w:rPr>
        <w:t>.</w:t>
      </w:r>
    </w:p>
    <w:p w14:paraId="4627D011" w14:textId="77777777" w:rsidR="00B2630B" w:rsidRDefault="00B2630B" w:rsidP="00B2630B">
      <w:pPr>
        <w:widowControl w:val="0"/>
        <w:bidi/>
        <w:spacing w:before="240" w:line="254" w:lineRule="auto"/>
        <w:ind w:firstLine="289"/>
        <w:jc w:val="both"/>
        <w:rPr>
          <w:rFonts w:cs="2  Mitra"/>
          <w:sz w:val="28"/>
          <w:szCs w:val="28"/>
          <w:rtl/>
        </w:rPr>
      </w:pPr>
      <w:r>
        <w:rPr>
          <w:rFonts w:cs="2  Mitra" w:hint="cs"/>
          <w:sz w:val="28"/>
          <w:szCs w:val="28"/>
          <w:rtl/>
        </w:rPr>
        <w:t xml:space="preserve">ولی </w:t>
      </w:r>
      <w:r w:rsidRPr="0083106A">
        <w:rPr>
          <w:rFonts w:cs="2  Mitra"/>
          <w:sz w:val="28"/>
          <w:szCs w:val="28"/>
          <w:rtl/>
        </w:rPr>
        <w:t>پاسخ آن</w:t>
      </w:r>
      <w:r>
        <w:rPr>
          <w:rFonts w:cs="2  Mitra" w:hint="cs"/>
          <w:sz w:val="28"/>
          <w:szCs w:val="28"/>
          <w:rtl/>
        </w:rPr>
        <w:t xml:space="preserve"> اين است که </w:t>
      </w:r>
      <w:r w:rsidRPr="0083106A">
        <w:rPr>
          <w:rFonts w:cs="2  Mitra"/>
          <w:sz w:val="28"/>
          <w:szCs w:val="28"/>
          <w:rtl/>
        </w:rPr>
        <w:t>اولاً</w:t>
      </w:r>
      <w:r>
        <w:rPr>
          <w:rFonts w:cs="2  Mitra" w:hint="cs"/>
          <w:sz w:val="28"/>
          <w:szCs w:val="28"/>
          <w:rtl/>
        </w:rPr>
        <w:t>:</w:t>
      </w:r>
      <w:r w:rsidRPr="0083106A">
        <w:rPr>
          <w:rFonts w:cs="2  Mitra"/>
          <w:sz w:val="28"/>
          <w:szCs w:val="28"/>
          <w:rtl/>
        </w:rPr>
        <w:t xml:space="preserve"> برداشت چنین معنایی از «إلا»</w:t>
      </w:r>
      <w:r>
        <w:rPr>
          <w:rFonts w:cs="2  Mitra" w:hint="cs"/>
          <w:sz w:val="28"/>
          <w:szCs w:val="28"/>
          <w:rtl/>
        </w:rPr>
        <w:t>ی</w:t>
      </w:r>
      <w:r w:rsidRPr="0083106A">
        <w:rPr>
          <w:rFonts w:cs="2  Mitra"/>
          <w:sz w:val="28"/>
          <w:szCs w:val="28"/>
          <w:rtl/>
        </w:rPr>
        <w:t xml:space="preserve"> وصفی، بر اساس وجود قرائن است، و در همه‌ی موارد چنین دلالتی ندارد؛ چنان‌که اگر گفته شود: «</w:t>
      </w:r>
      <w:r w:rsidRPr="0083106A">
        <w:rPr>
          <w:rFonts w:cs="Abz-2 (Badr)"/>
          <w:sz w:val="28"/>
          <w:szCs w:val="28"/>
          <w:rtl/>
        </w:rPr>
        <w:t>إذا أخبرت أيّ أحد إلا زيداً بهذا الأمر، وقعت الفتنة</w:t>
      </w:r>
      <w:r w:rsidRPr="0083106A">
        <w:rPr>
          <w:rFonts w:cs="2  Mitra"/>
          <w:sz w:val="28"/>
          <w:szCs w:val="28"/>
          <w:rtl/>
        </w:rPr>
        <w:t>»، از آن فهمیده نمی‌شود که خبر دادن به زید امری مفروغ</w:t>
      </w:r>
      <w:r>
        <w:rPr>
          <w:rFonts w:cs="2  Mitra"/>
          <w:sz w:val="28"/>
          <w:szCs w:val="28"/>
          <w:rtl/>
        </w:rPr>
        <w:softHyphen/>
      </w:r>
      <w:r w:rsidRPr="0083106A">
        <w:rPr>
          <w:rFonts w:cs="2  Mitra"/>
          <w:sz w:val="28"/>
          <w:szCs w:val="28"/>
          <w:rtl/>
        </w:rPr>
        <w:t>عنه و حتمی است، بلکه چیزی است که ممکن است تحقق یابد یا نیابد</w:t>
      </w:r>
      <w:r w:rsidRPr="0083106A">
        <w:rPr>
          <w:rFonts w:cs="2  Mitra"/>
          <w:sz w:val="28"/>
          <w:szCs w:val="28"/>
        </w:rPr>
        <w:t>.</w:t>
      </w:r>
    </w:p>
    <w:p w14:paraId="0065E5FC" w14:textId="77777777" w:rsidR="00B2630B" w:rsidRPr="0083106A" w:rsidRDefault="00B2630B" w:rsidP="00B2630B">
      <w:pPr>
        <w:widowControl w:val="0"/>
        <w:bidi/>
        <w:spacing w:before="240" w:line="254" w:lineRule="auto"/>
        <w:ind w:firstLine="289"/>
        <w:jc w:val="both"/>
        <w:rPr>
          <w:rFonts w:cs="2  Mitra"/>
          <w:sz w:val="28"/>
          <w:szCs w:val="28"/>
          <w:rtl/>
          <w:lang w:bidi="fa-IR"/>
        </w:rPr>
      </w:pPr>
      <w:r w:rsidRPr="0083106A">
        <w:rPr>
          <w:rFonts w:cs="2  Mitra"/>
          <w:sz w:val="28"/>
          <w:szCs w:val="28"/>
          <w:rtl/>
        </w:rPr>
        <w:t>ثانیاً</w:t>
      </w:r>
      <w:r>
        <w:rPr>
          <w:rFonts w:cs="2  Mitra" w:hint="cs"/>
          <w:sz w:val="28"/>
          <w:szCs w:val="28"/>
          <w:rtl/>
        </w:rPr>
        <w:t>:</w:t>
      </w:r>
      <w:r w:rsidRPr="0083106A">
        <w:rPr>
          <w:rFonts w:cs="2  Mitra"/>
          <w:sz w:val="28"/>
          <w:szCs w:val="28"/>
          <w:rtl/>
        </w:rPr>
        <w:t xml:space="preserve"> در مواردی نیز که چنین مفهومی از «إلا»</w:t>
      </w:r>
      <w:r>
        <w:rPr>
          <w:rFonts w:cs="2  Mitra" w:hint="cs"/>
          <w:sz w:val="28"/>
          <w:szCs w:val="28"/>
          <w:rtl/>
        </w:rPr>
        <w:t>ی</w:t>
      </w:r>
      <w:r w:rsidRPr="0083106A">
        <w:rPr>
          <w:rFonts w:cs="2  Mitra"/>
          <w:sz w:val="28"/>
          <w:szCs w:val="28"/>
          <w:rtl/>
        </w:rPr>
        <w:t xml:space="preserve"> وصفی استفاده می‌شود، ارتباطی با بحث مفاهیم ندارد؛ زیرا در مبحث مفاهیم، سخن از انتفاء حکم به انتفاء قید موضوع است، نه از ثبوت معنای دیگری برای قیدی از قیود موضوع که ارتباطی با حکم</w:t>
      </w:r>
      <w:r>
        <w:rPr>
          <w:rFonts w:cs="2  Mitra" w:hint="cs"/>
          <w:sz w:val="28"/>
          <w:szCs w:val="28"/>
          <w:rtl/>
        </w:rPr>
        <w:t xml:space="preserve">ی که در </w:t>
      </w:r>
      <w:r w:rsidRPr="0083106A">
        <w:rPr>
          <w:rFonts w:cs="2  Mitra"/>
          <w:sz w:val="28"/>
          <w:szCs w:val="28"/>
          <w:rtl/>
        </w:rPr>
        <w:t>منطوق مترتّب بر موضوع شده است، ندارد</w:t>
      </w:r>
      <w:r>
        <w:rPr>
          <w:rFonts w:cs="2  Mitra" w:hint="cs"/>
          <w:sz w:val="28"/>
          <w:szCs w:val="28"/>
          <w:rtl/>
        </w:rPr>
        <w:t>.</w:t>
      </w:r>
    </w:p>
    <w:p w14:paraId="6034A4CD" w14:textId="77777777" w:rsidR="00B2630B" w:rsidRDefault="00B2630B" w:rsidP="00B2630B">
      <w:pPr>
        <w:widowControl w:val="0"/>
        <w:bidi/>
        <w:spacing w:before="240" w:line="254" w:lineRule="auto"/>
        <w:ind w:firstLine="289"/>
        <w:jc w:val="both"/>
        <w:rPr>
          <w:rFonts w:cs="2  Mitra"/>
          <w:sz w:val="28"/>
          <w:szCs w:val="28"/>
          <w:rtl/>
          <w:lang w:bidi="fa-IR"/>
        </w:rPr>
      </w:pPr>
      <w:r w:rsidRPr="0083106A">
        <w:rPr>
          <w:rFonts w:cs="2  Mitra"/>
          <w:sz w:val="28"/>
          <w:szCs w:val="28"/>
          <w:rtl/>
        </w:rPr>
        <w:t>امّا در خصوص دلالت «إلا»</w:t>
      </w:r>
      <w:r>
        <w:rPr>
          <w:rFonts w:cs="2  Mitra" w:hint="cs"/>
          <w:sz w:val="28"/>
          <w:szCs w:val="28"/>
          <w:rtl/>
        </w:rPr>
        <w:t>ی</w:t>
      </w:r>
      <w:r w:rsidRPr="0083106A">
        <w:rPr>
          <w:rFonts w:cs="2  Mitra"/>
          <w:sz w:val="28"/>
          <w:szCs w:val="28"/>
          <w:rtl/>
        </w:rPr>
        <w:t xml:space="preserve"> استثنائی بر نفی حکم از مستثنى، به ابوحنیفه نسبت داده شده است که «إلا» چنین دلالتی ندارد، بلکه صرفاً بر شمول حکم نسبت به مستثنى‌منه یا بر انتفاء حکم از آن دلالت می‌کند، و نسبت به حکم مستثنى در مقام سکوت است</w:t>
      </w:r>
      <w:r>
        <w:rPr>
          <w:rStyle w:val="FootnoteReference"/>
          <w:rFonts w:cs="2  Mitra"/>
          <w:sz w:val="28"/>
          <w:szCs w:val="28"/>
          <w:rtl/>
        </w:rPr>
        <w:footnoteReference w:id="4"/>
      </w:r>
      <w:r>
        <w:rPr>
          <w:rFonts w:cs="2  Mitra" w:hint="cs"/>
          <w:sz w:val="28"/>
          <w:szCs w:val="28"/>
          <w:rtl/>
          <w:lang w:bidi="fa-IR"/>
        </w:rPr>
        <w:t xml:space="preserve"> </w:t>
      </w:r>
      <w:r w:rsidRPr="0083106A">
        <w:rPr>
          <w:rFonts w:cs="2  Mitra"/>
          <w:sz w:val="28"/>
          <w:szCs w:val="28"/>
          <w:rtl/>
        </w:rPr>
        <w:t>و در مقام اقامه‌ی حجّت بر این مدّعا، به مواردی مانند جمله‌ی «</w:t>
      </w:r>
      <w:r w:rsidRPr="0083106A">
        <w:rPr>
          <w:rFonts w:cs="Abz-2 (Badr)"/>
          <w:sz w:val="28"/>
          <w:szCs w:val="28"/>
          <w:rtl/>
        </w:rPr>
        <w:t>لا صلاة إلا بطهور</w:t>
      </w:r>
      <w:r w:rsidRPr="0083106A">
        <w:rPr>
          <w:rFonts w:cs="2  Mitra"/>
          <w:sz w:val="28"/>
          <w:szCs w:val="28"/>
          <w:rtl/>
        </w:rPr>
        <w:t>» تمسّک کرده‌اند؛ بدین بیان که این عبارت تنها بر نفی صحّت نماز فاقد طهور دلالت دارد و دلالتی بر صحّت نماز همراه با طهارت ندارد، زیرا روشن است که صرف وجود طهارت، در صورت فقدان سایر شرایط، برای صحّت نماز کفایت نمی‌کند</w:t>
      </w:r>
      <w:r>
        <w:rPr>
          <w:rFonts w:cs="2  Mitra" w:hint="cs"/>
          <w:sz w:val="28"/>
          <w:szCs w:val="28"/>
          <w:rtl/>
          <w:lang w:bidi="fa-IR"/>
        </w:rPr>
        <w:t>.</w:t>
      </w:r>
    </w:p>
    <w:p w14:paraId="5EA3256A" w14:textId="77777777" w:rsidR="00B2630B" w:rsidRDefault="00B2630B" w:rsidP="00B2630B">
      <w:pPr>
        <w:widowControl w:val="0"/>
        <w:bidi/>
        <w:spacing w:before="240" w:line="247" w:lineRule="auto"/>
        <w:ind w:firstLine="289"/>
        <w:jc w:val="both"/>
        <w:rPr>
          <w:rFonts w:cs="2  Mitra"/>
          <w:sz w:val="28"/>
          <w:szCs w:val="28"/>
          <w:rtl/>
          <w:lang w:bidi="fa-IR"/>
        </w:rPr>
      </w:pPr>
      <w:r>
        <w:rPr>
          <w:rFonts w:cs="2  Mitra" w:hint="cs"/>
          <w:sz w:val="28"/>
          <w:szCs w:val="28"/>
          <w:rtl/>
          <w:lang w:bidi="fa-IR"/>
        </w:rPr>
        <w:t>مرحوم شيخ در پاسخ به اين اشکال می</w:t>
      </w:r>
      <w:r>
        <w:rPr>
          <w:rFonts w:cs="2  Mitra"/>
          <w:sz w:val="28"/>
          <w:szCs w:val="28"/>
          <w:rtl/>
          <w:lang w:bidi="fa-IR"/>
        </w:rPr>
        <w:softHyphen/>
      </w:r>
      <w:r>
        <w:rPr>
          <w:rFonts w:cs="2  Mitra" w:hint="cs"/>
          <w:sz w:val="28"/>
          <w:szCs w:val="28"/>
          <w:rtl/>
          <w:lang w:bidi="fa-IR"/>
        </w:rPr>
        <w:t>فرماید: حصر در اين موارد حصر اضافی است</w:t>
      </w:r>
      <w:r>
        <w:rPr>
          <w:rStyle w:val="FootnoteReference"/>
          <w:rFonts w:cs="2  Mitra"/>
          <w:sz w:val="28"/>
          <w:szCs w:val="28"/>
          <w:rtl/>
        </w:rPr>
        <w:footnoteReference w:id="5"/>
      </w:r>
      <w:r w:rsidRPr="0083106A">
        <w:rPr>
          <w:rtl/>
        </w:rPr>
        <w:t xml:space="preserve"> </w:t>
      </w:r>
      <w:r w:rsidRPr="0083106A">
        <w:rPr>
          <w:rFonts w:cs="2  Mitra"/>
          <w:sz w:val="28"/>
          <w:szCs w:val="28"/>
          <w:rtl/>
        </w:rPr>
        <w:t xml:space="preserve">؛ بدین معنا که آنچه از جهات دیگر ـ </w:t>
      </w:r>
      <w:r>
        <w:rPr>
          <w:rFonts w:cs="2  Mitra" w:hint="cs"/>
          <w:sz w:val="28"/>
          <w:szCs w:val="28"/>
          <w:rtl/>
        </w:rPr>
        <w:t>غير</w:t>
      </w:r>
      <w:r w:rsidRPr="0083106A">
        <w:rPr>
          <w:rFonts w:cs="2  Mitra"/>
          <w:sz w:val="28"/>
          <w:szCs w:val="28"/>
          <w:rtl/>
        </w:rPr>
        <w:t xml:space="preserve"> از جهت طهارت ـ تمام بوده و صلاحیت صدق عنوان نماز را دارد، برای آن‌که از جمیع جهات کامل گردد، نیازمند طهارت است، و در غیر این صورت، نماز کاملی نخواهد بود</w:t>
      </w:r>
      <w:r>
        <w:rPr>
          <w:rFonts w:cs="2  Mitra" w:hint="cs"/>
          <w:sz w:val="28"/>
          <w:szCs w:val="28"/>
          <w:rtl/>
          <w:lang w:bidi="fa-IR"/>
        </w:rPr>
        <w:t>.</w:t>
      </w:r>
    </w:p>
    <w:p w14:paraId="33DF2CAC" w14:textId="77777777" w:rsidR="00B2630B" w:rsidRDefault="00B2630B" w:rsidP="00B2630B">
      <w:pPr>
        <w:widowControl w:val="0"/>
        <w:bidi/>
        <w:spacing w:before="240" w:line="247" w:lineRule="auto"/>
        <w:ind w:firstLine="289"/>
        <w:jc w:val="both"/>
        <w:rPr>
          <w:rFonts w:cs="2  Mitra"/>
          <w:sz w:val="28"/>
          <w:szCs w:val="28"/>
          <w:rtl/>
          <w:lang w:bidi="fa-IR"/>
        </w:rPr>
      </w:pPr>
      <w:r w:rsidRPr="0083106A">
        <w:rPr>
          <w:rFonts w:cs="2  Mitra"/>
          <w:sz w:val="28"/>
          <w:szCs w:val="28"/>
          <w:rtl/>
        </w:rPr>
        <w:t xml:space="preserve">مرحوم آیت‌الله خوئی که همین </w:t>
      </w:r>
      <w:r>
        <w:rPr>
          <w:rFonts w:cs="2  Mitra" w:hint="cs"/>
          <w:sz w:val="28"/>
          <w:szCs w:val="28"/>
          <w:rtl/>
        </w:rPr>
        <w:t>معنا</w:t>
      </w:r>
      <w:r w:rsidRPr="0083106A">
        <w:rPr>
          <w:rFonts w:cs="2  Mitra"/>
          <w:sz w:val="28"/>
          <w:szCs w:val="28"/>
          <w:rtl/>
        </w:rPr>
        <w:t xml:space="preserve"> را از کلمات مرحوم آخوند استفاده کرده است، در اشکال بر آن می‌فرماید: اگر مراد از «</w:t>
      </w:r>
      <w:r w:rsidRPr="0083106A">
        <w:rPr>
          <w:rFonts w:cs="Abz-2 (Badr)"/>
          <w:sz w:val="28"/>
          <w:szCs w:val="28"/>
          <w:rtl/>
        </w:rPr>
        <w:t>لا صلاة إلا بطهور</w:t>
      </w:r>
      <w:r w:rsidRPr="0083106A">
        <w:rPr>
          <w:rFonts w:cs="2  Mitra"/>
          <w:sz w:val="28"/>
          <w:szCs w:val="28"/>
          <w:rtl/>
        </w:rPr>
        <w:t xml:space="preserve">» این باشد که نمازی که سایر اجزاء و شرایط آن </w:t>
      </w:r>
      <w:r>
        <w:rPr>
          <w:rFonts w:cs="2  Mitra" w:hint="cs"/>
          <w:sz w:val="28"/>
          <w:szCs w:val="28"/>
          <w:rtl/>
        </w:rPr>
        <w:t>بجز</w:t>
      </w:r>
      <w:r w:rsidRPr="0083106A">
        <w:rPr>
          <w:rFonts w:cs="2  Mitra"/>
          <w:sz w:val="28"/>
          <w:szCs w:val="28"/>
          <w:rtl/>
        </w:rPr>
        <w:t xml:space="preserve"> طهارت کامل است، جز با طهارت تحقق نمی‌یابد، پس باید معنای «</w:t>
      </w:r>
      <w:r w:rsidRPr="007B5B0B">
        <w:rPr>
          <w:rFonts w:cs="Abz-2 (Badr)"/>
          <w:sz w:val="28"/>
          <w:szCs w:val="28"/>
          <w:rtl/>
        </w:rPr>
        <w:t>لا صلاة إلا بفاتحة الکتاب</w:t>
      </w:r>
      <w:r w:rsidRPr="0083106A">
        <w:rPr>
          <w:rFonts w:cs="2  Mitra"/>
          <w:sz w:val="28"/>
          <w:szCs w:val="28"/>
          <w:rtl/>
        </w:rPr>
        <w:t xml:space="preserve">» نیز چنین باشد که نمازی که سایر اجزاء و شرایط آن غیر از </w:t>
      </w:r>
      <w:r w:rsidRPr="007B5B0B">
        <w:rPr>
          <w:rFonts w:cs="Abz-2 (Badr)"/>
          <w:sz w:val="28"/>
          <w:szCs w:val="28"/>
          <w:rtl/>
        </w:rPr>
        <w:t>فاتحة الکتاب</w:t>
      </w:r>
      <w:r w:rsidRPr="0083106A">
        <w:rPr>
          <w:rFonts w:cs="2  Mitra"/>
          <w:sz w:val="28"/>
          <w:szCs w:val="28"/>
          <w:rtl/>
        </w:rPr>
        <w:t xml:space="preserve"> کامل نیست، جز با </w:t>
      </w:r>
      <w:r w:rsidRPr="007B5B0B">
        <w:rPr>
          <w:rFonts w:cs="Abz-2 (Badr)"/>
          <w:sz w:val="28"/>
          <w:szCs w:val="28"/>
          <w:rtl/>
        </w:rPr>
        <w:t>فاتحة الکتاب</w:t>
      </w:r>
      <w:r w:rsidRPr="0083106A">
        <w:rPr>
          <w:rFonts w:cs="2  Mitra"/>
          <w:sz w:val="28"/>
          <w:szCs w:val="28"/>
          <w:rtl/>
        </w:rPr>
        <w:t xml:space="preserve"> تحقق پیدا نمی‌کند. و لازمه‌ی این بیان آن است که لفظ «</w:t>
      </w:r>
      <w:r w:rsidRPr="007B5B0B">
        <w:rPr>
          <w:rFonts w:cs="Abz-2 (Badr)"/>
          <w:sz w:val="28"/>
          <w:szCs w:val="28"/>
          <w:rtl/>
        </w:rPr>
        <w:t>صلاة</w:t>
      </w:r>
      <w:r w:rsidRPr="0083106A">
        <w:rPr>
          <w:rFonts w:cs="2  Mitra"/>
          <w:sz w:val="28"/>
          <w:szCs w:val="28"/>
          <w:rtl/>
        </w:rPr>
        <w:t xml:space="preserve">» در این دو ترکیب در دو معنای </w:t>
      </w:r>
      <w:r w:rsidRPr="0083106A">
        <w:rPr>
          <w:rFonts w:cs="2  Mitra"/>
          <w:sz w:val="28"/>
          <w:szCs w:val="28"/>
          <w:rtl/>
        </w:rPr>
        <w:lastRenderedPageBreak/>
        <w:t>متفاوت استعمال شده باشد، در حالی که فهم عرفی از آن در هر دو ترکیب، یک معناست</w:t>
      </w:r>
      <w:r>
        <w:rPr>
          <w:rFonts w:cs="2  Mitra" w:hint="cs"/>
          <w:sz w:val="28"/>
          <w:szCs w:val="28"/>
          <w:rtl/>
          <w:lang w:bidi="fa-IR"/>
        </w:rPr>
        <w:t>.</w:t>
      </w:r>
      <w:r>
        <w:rPr>
          <w:rStyle w:val="FootnoteReference"/>
          <w:rFonts w:cs="2  Mitra"/>
          <w:sz w:val="28"/>
          <w:szCs w:val="28"/>
          <w:rtl/>
        </w:rPr>
        <w:footnoteReference w:id="6"/>
      </w:r>
    </w:p>
    <w:p w14:paraId="13C1A22C" w14:textId="77777777" w:rsidR="00B2630B" w:rsidRDefault="00B2630B" w:rsidP="00B2630B">
      <w:pPr>
        <w:widowControl w:val="0"/>
        <w:bidi/>
        <w:spacing w:before="240" w:line="247" w:lineRule="auto"/>
        <w:ind w:firstLine="289"/>
        <w:jc w:val="both"/>
        <w:rPr>
          <w:rFonts w:cs="2  Mitra"/>
          <w:sz w:val="28"/>
          <w:szCs w:val="28"/>
          <w:rtl/>
          <w:lang w:bidi="fa-IR"/>
        </w:rPr>
      </w:pPr>
      <w:r w:rsidRPr="007B5B0B">
        <w:rPr>
          <w:rFonts w:cs="2  Mitra"/>
          <w:sz w:val="28"/>
          <w:szCs w:val="28"/>
          <w:rtl/>
        </w:rPr>
        <w:t>این اشکال هرچند در اصل، اشکال واردی است، ولی بر مدّعای مرحوم آخوند وارد نیست؛ زیرا آنچه ایشان ادّعا کرده‌اند، مطابق با مدّعای مرحوم شیخ نیست</w:t>
      </w:r>
      <w:r>
        <w:rPr>
          <w:rFonts w:cs="2  Mitra" w:hint="cs"/>
          <w:sz w:val="28"/>
          <w:szCs w:val="28"/>
          <w:rtl/>
        </w:rPr>
        <w:t>،</w:t>
      </w:r>
      <w:r w:rsidRPr="007B5B0B">
        <w:rPr>
          <w:rFonts w:cs="2  Mitra"/>
          <w:sz w:val="28"/>
          <w:szCs w:val="28"/>
          <w:rtl/>
        </w:rPr>
        <w:t xml:space="preserve"> بلکه </w:t>
      </w:r>
      <w:r>
        <w:rPr>
          <w:rFonts w:cs="2  Mitra" w:hint="cs"/>
          <w:sz w:val="28"/>
          <w:szCs w:val="28"/>
          <w:rtl/>
        </w:rPr>
        <w:t>ادعای</w:t>
      </w:r>
      <w:r w:rsidRPr="007B5B0B">
        <w:rPr>
          <w:rFonts w:cs="2  Mitra"/>
          <w:sz w:val="28"/>
          <w:szCs w:val="28"/>
          <w:rtl/>
        </w:rPr>
        <w:t xml:space="preserve"> ایشان آن است که مفاد «</w:t>
      </w:r>
      <w:r w:rsidRPr="007B5B0B">
        <w:rPr>
          <w:rFonts w:cs="Abz-2 (Badr)"/>
          <w:sz w:val="28"/>
          <w:szCs w:val="28"/>
          <w:rtl/>
        </w:rPr>
        <w:t>لا صلاة إلا بطهور</w:t>
      </w:r>
      <w:r w:rsidRPr="007B5B0B">
        <w:rPr>
          <w:rFonts w:cs="2  Mitra"/>
          <w:sz w:val="28"/>
          <w:szCs w:val="28"/>
          <w:rtl/>
        </w:rPr>
        <w:t>» این است که آنچه نماز بودن آن تامّ است، به چنین مرتبه‌ای نمی‌رسد مگر آن‌که همراه با طهارت باشد؛ وگرنه ـ بنابر قول به وضع الفاظ عبادات برای خصوص صحیح ـ نماز نخواهد بود، و یا ـ بنابر قول به وضع الفاظ عبادات برای اعم از صحیح و فاسد ـ نماز مأمور</w:t>
      </w:r>
      <w:r>
        <w:rPr>
          <w:rFonts w:cs="2  Mitra" w:hint="cs"/>
          <w:sz w:val="28"/>
          <w:szCs w:val="28"/>
          <w:rtl/>
        </w:rPr>
        <w:t xml:space="preserve"> </w:t>
      </w:r>
      <w:r w:rsidRPr="007B5B0B">
        <w:rPr>
          <w:rFonts w:cs="2  Mitra"/>
          <w:sz w:val="28"/>
          <w:szCs w:val="28"/>
          <w:rtl/>
        </w:rPr>
        <w:t>به محسوب نمی‌گردد</w:t>
      </w:r>
      <w:r w:rsidRPr="00054EE7">
        <w:rPr>
          <w:rFonts w:cs="2  Mitra" w:hint="cs"/>
          <w:sz w:val="28"/>
          <w:szCs w:val="28"/>
          <w:rtl/>
          <w:lang w:bidi="fa-IR"/>
        </w:rPr>
        <w:t>.</w:t>
      </w:r>
      <w:r>
        <w:rPr>
          <w:rStyle w:val="FootnoteReference"/>
          <w:rFonts w:cs="2  Mitra"/>
          <w:sz w:val="28"/>
          <w:szCs w:val="28"/>
          <w:rtl/>
        </w:rPr>
        <w:footnoteReference w:id="7"/>
      </w:r>
    </w:p>
    <w:p w14:paraId="067723BE" w14:textId="77777777" w:rsidR="00B2630B" w:rsidRDefault="00B2630B" w:rsidP="00B2630B">
      <w:pPr>
        <w:widowControl w:val="0"/>
        <w:bidi/>
        <w:spacing w:before="240" w:line="247" w:lineRule="auto"/>
        <w:ind w:firstLine="289"/>
        <w:jc w:val="both"/>
        <w:rPr>
          <w:rFonts w:cs="2  Mitra"/>
          <w:sz w:val="28"/>
          <w:szCs w:val="28"/>
          <w:rtl/>
          <w:lang w:bidi="fa-IR"/>
        </w:rPr>
      </w:pPr>
      <w:r w:rsidRPr="007B5B0B">
        <w:rPr>
          <w:rFonts w:cs="2  Mitra"/>
          <w:sz w:val="28"/>
          <w:szCs w:val="28"/>
          <w:rtl/>
        </w:rPr>
        <w:t>و روشن است که میان این تعبیر و تعبیر مرحوم شیخ، تفاوت وجود دارد، و اشکال مرحوم آیت‌الله خوئی بر تعبیر شیخ، بر بیان مرحوم آخوند وارد نیست</w:t>
      </w:r>
      <w:r>
        <w:rPr>
          <w:rFonts w:cs="2  Mitra" w:hint="cs"/>
          <w:sz w:val="28"/>
          <w:szCs w:val="28"/>
          <w:rtl/>
          <w:lang w:bidi="fa-IR"/>
        </w:rPr>
        <w:t>.</w:t>
      </w:r>
    </w:p>
    <w:p w14:paraId="23A2D484" w14:textId="77777777" w:rsidR="00B2630B" w:rsidRPr="004A08CD" w:rsidRDefault="00B2630B" w:rsidP="00B2630B">
      <w:pPr>
        <w:widowControl w:val="0"/>
        <w:bidi/>
        <w:spacing w:before="240" w:line="247" w:lineRule="auto"/>
        <w:ind w:firstLine="289"/>
        <w:jc w:val="both"/>
        <w:rPr>
          <w:rFonts w:cs="Arial"/>
          <w:sz w:val="28"/>
          <w:szCs w:val="28"/>
          <w:rtl/>
          <w:lang w:bidi="fa-IR"/>
        </w:rPr>
      </w:pPr>
      <w:r w:rsidRPr="007B5B0B">
        <w:rPr>
          <w:rFonts w:cs="2  Mitra"/>
          <w:sz w:val="28"/>
          <w:szCs w:val="28"/>
          <w:rtl/>
        </w:rPr>
        <w:t xml:space="preserve">به بیان دیگر، بر اساس آنچه مرحوم آخوند فرموده‌اند، </w:t>
      </w:r>
      <w:r>
        <w:rPr>
          <w:rFonts w:cs="2  Mitra" w:hint="cs"/>
          <w:sz w:val="28"/>
          <w:szCs w:val="28"/>
          <w:rtl/>
        </w:rPr>
        <w:t xml:space="preserve">حصر حقیقی بوده و </w:t>
      </w:r>
      <w:r w:rsidRPr="007B5B0B">
        <w:rPr>
          <w:rFonts w:cs="2  Mitra"/>
          <w:sz w:val="28"/>
          <w:szCs w:val="28"/>
          <w:rtl/>
        </w:rPr>
        <w:t>اسم «لا»ی نفی جنس در این عبارت، کلمه‌ی «</w:t>
      </w:r>
      <w:r w:rsidRPr="007B5B0B">
        <w:rPr>
          <w:rFonts w:cs="Abz-2 (Badr)"/>
          <w:sz w:val="28"/>
          <w:szCs w:val="28"/>
          <w:rtl/>
        </w:rPr>
        <w:t>موجودة</w:t>
      </w:r>
      <w:r w:rsidRPr="007B5B0B">
        <w:rPr>
          <w:rFonts w:cs="2  Mitra"/>
          <w:sz w:val="28"/>
          <w:szCs w:val="28"/>
          <w:rtl/>
        </w:rPr>
        <w:t>» یا «</w:t>
      </w:r>
      <w:r w:rsidRPr="007B5B0B">
        <w:rPr>
          <w:rFonts w:cs="Abz-2 (Badr)"/>
          <w:sz w:val="28"/>
          <w:szCs w:val="28"/>
          <w:rtl/>
        </w:rPr>
        <w:t>تامّة</w:t>
      </w:r>
      <w:r w:rsidRPr="007B5B0B">
        <w:rPr>
          <w:rFonts w:cs="2  Mitra"/>
          <w:sz w:val="28"/>
          <w:szCs w:val="28"/>
          <w:rtl/>
        </w:rPr>
        <w:t>» است</w:t>
      </w:r>
      <w:r>
        <w:rPr>
          <w:rFonts w:cs="2  Mitra" w:hint="cs"/>
          <w:sz w:val="28"/>
          <w:szCs w:val="28"/>
          <w:rtl/>
          <w:lang w:bidi="fa-IR"/>
        </w:rPr>
        <w:t>.</w:t>
      </w:r>
    </w:p>
    <w:p w14:paraId="38BF910A" w14:textId="77777777" w:rsidR="00B2630B" w:rsidRPr="006921CB" w:rsidRDefault="00B2630B" w:rsidP="00B2630B">
      <w:pPr>
        <w:widowControl w:val="0"/>
        <w:bidi/>
        <w:spacing w:before="240" w:line="247" w:lineRule="auto"/>
        <w:ind w:firstLine="289"/>
        <w:jc w:val="both"/>
        <w:rPr>
          <w:rFonts w:cs="Abz-2 (Badr)"/>
          <w:sz w:val="28"/>
          <w:szCs w:val="28"/>
          <w:rtl/>
          <w:lang w:bidi="fa-IR"/>
        </w:rPr>
      </w:pPr>
      <w:r w:rsidRPr="007B5B0B">
        <w:rPr>
          <w:rFonts w:cs="2  Mitra"/>
          <w:sz w:val="28"/>
          <w:szCs w:val="28"/>
          <w:rtl/>
        </w:rPr>
        <w:t>امّا اشکال این بیان آن است که بنا بر این مبنا، مفاد عبارت «</w:t>
      </w:r>
      <w:r w:rsidRPr="007B5B0B">
        <w:rPr>
          <w:rFonts w:cs="Abz-2 (Badr)"/>
          <w:sz w:val="28"/>
          <w:szCs w:val="28"/>
          <w:rtl/>
        </w:rPr>
        <w:t>لا صلاة إلا بطهور</w:t>
      </w:r>
      <w:r w:rsidRPr="007B5B0B">
        <w:rPr>
          <w:rFonts w:cs="2  Mitra"/>
          <w:sz w:val="28"/>
          <w:szCs w:val="28"/>
          <w:rtl/>
        </w:rPr>
        <w:t>» چنین خواهد بود: آنچه بدون طهارت انجام گیرد، نماز یا نمازِ تامّ نیست، و آنچه با طهارت انجام شود، نماز یا نماز تامّ است. و در این صورت، همان اشکال ابوحنیفه بر آن وارد خواهد بود</w:t>
      </w:r>
      <w:r>
        <w:rPr>
          <w:rFonts w:cs="2  Mitra" w:hint="cs"/>
          <w:sz w:val="28"/>
          <w:szCs w:val="28"/>
          <w:rtl/>
          <w:lang w:bidi="fa-IR"/>
        </w:rPr>
        <w:t>.</w:t>
      </w:r>
    </w:p>
    <w:p w14:paraId="282BF23E" w14:textId="77777777" w:rsidR="00B2630B" w:rsidRPr="006921CB" w:rsidRDefault="00B2630B" w:rsidP="00B2630B">
      <w:pPr>
        <w:widowControl w:val="0"/>
        <w:bidi/>
        <w:spacing w:after="0" w:line="240" w:lineRule="auto"/>
        <w:ind w:firstLine="284"/>
        <w:jc w:val="both"/>
        <w:rPr>
          <w:rFonts w:cs="Abz-2 (Badr)"/>
          <w:sz w:val="28"/>
          <w:szCs w:val="28"/>
          <w:rtl/>
          <w:lang w:bidi="fa-IR"/>
        </w:rPr>
      </w:pPr>
    </w:p>
    <w:p w14:paraId="7D9979DE" w14:textId="26D41A3F" w:rsidR="001B24FC" w:rsidRPr="002158FB" w:rsidRDefault="001B24FC" w:rsidP="002158FB">
      <w:pPr>
        <w:rPr>
          <w:rtl/>
        </w:rPr>
      </w:pPr>
    </w:p>
    <w:sectPr w:rsidR="001B24FC" w:rsidRPr="002158FB"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37857" w14:textId="77777777" w:rsidR="002D1688" w:rsidRDefault="002D1688" w:rsidP="00C336C5">
      <w:pPr>
        <w:spacing w:after="0" w:line="240" w:lineRule="auto"/>
      </w:pPr>
      <w:r>
        <w:separator/>
      </w:r>
    </w:p>
  </w:endnote>
  <w:endnote w:type="continuationSeparator" w:id="0">
    <w:p w14:paraId="32ACBF96" w14:textId="77777777" w:rsidR="002D1688" w:rsidRDefault="002D1688" w:rsidP="00C336C5">
      <w:pPr>
        <w:spacing w:after="0" w:line="240" w:lineRule="auto"/>
      </w:pPr>
      <w:r>
        <w:continuationSeparator/>
      </w:r>
    </w:p>
  </w:endnote>
  <w:endnote w:type="continuationNotice" w:id="1">
    <w:p w14:paraId="0501381D" w14:textId="77777777" w:rsidR="002D1688" w:rsidRDefault="002D1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F59F" w14:textId="77777777" w:rsidR="00B26C06" w:rsidRDefault="00B26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3714" w14:textId="77777777" w:rsidR="00B26C06" w:rsidRDefault="00B26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3AD99" w14:textId="77777777" w:rsidR="002D1688" w:rsidRDefault="002D1688" w:rsidP="00C336C5">
      <w:pPr>
        <w:bidi/>
        <w:spacing w:after="0" w:line="240" w:lineRule="auto"/>
      </w:pPr>
      <w:r>
        <w:separator/>
      </w:r>
    </w:p>
  </w:footnote>
  <w:footnote w:type="continuationSeparator" w:id="0">
    <w:p w14:paraId="1FBE94E6" w14:textId="77777777" w:rsidR="002D1688" w:rsidRDefault="002D1688" w:rsidP="00C336C5">
      <w:pPr>
        <w:spacing w:after="0" w:line="240" w:lineRule="auto"/>
      </w:pPr>
      <w:r>
        <w:continuationSeparator/>
      </w:r>
    </w:p>
  </w:footnote>
  <w:footnote w:type="continuationNotice" w:id="1">
    <w:p w14:paraId="0875CC33" w14:textId="77777777" w:rsidR="002D1688" w:rsidRDefault="002D1688">
      <w:pPr>
        <w:spacing w:after="0" w:line="240" w:lineRule="auto"/>
      </w:pPr>
    </w:p>
  </w:footnote>
  <w:footnote w:id="2">
    <w:p w14:paraId="38F9048C" w14:textId="77777777" w:rsidR="00B2630B" w:rsidRPr="00054EE7" w:rsidRDefault="00B2630B" w:rsidP="00B2630B">
      <w:pPr>
        <w:pStyle w:val="FootnoteText"/>
        <w:bidi/>
        <w:jc w:val="left"/>
        <w:rPr>
          <w:rFonts w:cs="Abz-2 (Badr)"/>
          <w:rtl/>
          <w:lang w:bidi="fa-IR"/>
        </w:rPr>
      </w:pPr>
      <w:r w:rsidRPr="00054EE7">
        <w:rPr>
          <w:rFonts w:cs="Abz-2 (Badr)"/>
          <w:lang w:bidi="fa-IR"/>
        </w:rPr>
        <w:footnoteRef/>
      </w:r>
      <w:r w:rsidRPr="00054EE7">
        <w:rPr>
          <w:rFonts w:cs="Abz-2 (Badr)" w:hint="cs"/>
          <w:rtl/>
          <w:lang w:bidi="fa-IR"/>
        </w:rPr>
        <w:t xml:space="preserve"> ـ الأنبياء(21):22.</w:t>
      </w:r>
    </w:p>
  </w:footnote>
  <w:footnote w:id="3">
    <w:p w14:paraId="44304866" w14:textId="77777777" w:rsidR="00B2630B" w:rsidRPr="00054EE7" w:rsidRDefault="00B2630B" w:rsidP="00B2630B">
      <w:pPr>
        <w:pStyle w:val="FootnoteText"/>
        <w:bidi/>
        <w:jc w:val="left"/>
        <w:rPr>
          <w:rFonts w:cs="Abz-2 (Badr)"/>
          <w:rtl/>
          <w:lang w:bidi="fa-IR"/>
        </w:rPr>
      </w:pPr>
      <w:r w:rsidRPr="00054EE7">
        <w:rPr>
          <w:rFonts w:cs="Abz-2 (Badr)"/>
          <w:lang w:bidi="fa-IR"/>
        </w:rPr>
        <w:footnoteRef/>
      </w:r>
      <w:r w:rsidRPr="00054EE7">
        <w:rPr>
          <w:rFonts w:cs="Abz-2 (Badr)" w:hint="cs"/>
          <w:rtl/>
          <w:lang w:bidi="fa-IR"/>
        </w:rPr>
        <w:t xml:space="preserve"> </w:t>
      </w:r>
      <w:r w:rsidRPr="00054EE7">
        <w:rPr>
          <w:rFonts w:cs="Abz-2 (Badr)" w:hint="cs"/>
          <w:rtl/>
          <w:lang w:bidi="fa-IR"/>
        </w:rPr>
        <w:t xml:space="preserve">ـ </w:t>
      </w:r>
      <w:r w:rsidRPr="00054EE7">
        <w:rPr>
          <w:rFonts w:cs="Abz-2 (Badr)" w:hint="cs"/>
          <w:rtl/>
          <w:lang w:bidi="fa-IR"/>
        </w:rPr>
        <w:t>راجع: أجود التقر</w:t>
      </w:r>
      <w:r>
        <w:rPr>
          <w:rFonts w:cs="Abz-2 (Badr)" w:hint="cs"/>
          <w:rtl/>
          <w:lang w:bidi="fa-IR"/>
        </w:rPr>
        <w:t>ي</w:t>
      </w:r>
      <w:r w:rsidRPr="00054EE7">
        <w:rPr>
          <w:rFonts w:cs="Abz-2 (Badr)" w:hint="cs"/>
          <w:rtl/>
          <w:lang w:bidi="fa-IR"/>
        </w:rPr>
        <w:t>رات،ج1،ص438 ـ محاضرات في أ</w:t>
      </w:r>
      <w:r>
        <w:rPr>
          <w:rFonts w:cs="Abz-2 (Badr)" w:hint="cs"/>
          <w:rtl/>
          <w:lang w:bidi="fa-IR"/>
        </w:rPr>
        <w:t>ُ</w:t>
      </w:r>
      <w:r w:rsidRPr="00054EE7">
        <w:rPr>
          <w:rFonts w:cs="Abz-2 (Badr)" w:hint="cs"/>
          <w:rtl/>
          <w:lang w:bidi="fa-IR"/>
        </w:rPr>
        <w:t>صول الفقه،ج4،ص286.</w:t>
      </w:r>
    </w:p>
  </w:footnote>
  <w:footnote w:id="4">
    <w:p w14:paraId="0B564D38" w14:textId="77777777" w:rsidR="00B2630B" w:rsidRPr="00352C37" w:rsidRDefault="00B2630B" w:rsidP="00B2630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sidRPr="00352C37">
        <w:rPr>
          <w:rFonts w:cs="Abz-2 (Badr)" w:hint="cs"/>
          <w:rtl/>
          <w:lang w:bidi="fa-IR"/>
        </w:rPr>
        <w:t>راجع: المستصفی،ص272 ـ الإحکام في أ</w:t>
      </w:r>
      <w:r>
        <w:rPr>
          <w:rFonts w:cs="Abz-2 (Badr)" w:hint="cs"/>
          <w:rtl/>
          <w:lang w:bidi="fa-IR"/>
        </w:rPr>
        <w:t>ُ</w:t>
      </w:r>
      <w:r w:rsidRPr="00352C37">
        <w:rPr>
          <w:rFonts w:cs="Abz-2 (Badr)" w:hint="cs"/>
          <w:rtl/>
          <w:lang w:bidi="fa-IR"/>
        </w:rPr>
        <w:t>صول الأحکام،ج1،ص512.</w:t>
      </w:r>
    </w:p>
  </w:footnote>
  <w:footnote w:id="5">
    <w:p w14:paraId="08DD20DC" w14:textId="77777777" w:rsidR="00B2630B" w:rsidRPr="00352C37" w:rsidRDefault="00B2630B" w:rsidP="00B2630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sidRPr="00352C37">
        <w:rPr>
          <w:rFonts w:cs="Abz-2 (Badr)" w:hint="cs"/>
          <w:rtl/>
          <w:lang w:bidi="fa-IR"/>
        </w:rPr>
        <w:t>راجع: مطارح الأنظار،ج2،ص106.</w:t>
      </w:r>
    </w:p>
  </w:footnote>
  <w:footnote w:id="6">
    <w:p w14:paraId="26423E49" w14:textId="77777777" w:rsidR="00B2630B" w:rsidRPr="00352C37" w:rsidRDefault="00B2630B" w:rsidP="00B2630B">
      <w:pPr>
        <w:pStyle w:val="FootnoteText"/>
        <w:bidi/>
        <w:jc w:val="left"/>
        <w:rPr>
          <w:rFonts w:cs="Abz-2 (Badr)"/>
          <w:rtl/>
          <w:lang w:bidi="fa-IR"/>
        </w:rPr>
      </w:pPr>
      <w:r w:rsidRPr="00352C37">
        <w:rPr>
          <w:rStyle w:val="FootnoteReference"/>
          <w:rFonts w:cs="Abz-2 (Badr)"/>
          <w:vertAlign w:val="baseline"/>
        </w:rPr>
        <w:footnoteRef/>
      </w:r>
      <w:r w:rsidRPr="00352C37">
        <w:rPr>
          <w:rFonts w:cs="Abz-2 (Badr)" w:hint="cs"/>
          <w:rtl/>
          <w:lang w:bidi="fa-IR"/>
        </w:rPr>
        <w:t xml:space="preserve"> </w:t>
      </w:r>
      <w:r w:rsidRPr="00352C37">
        <w:rPr>
          <w:rFonts w:cs="Abz-2 (Badr)" w:hint="cs"/>
          <w:rtl/>
          <w:lang w:bidi="fa-IR"/>
        </w:rPr>
        <w:t xml:space="preserve">ـ </w:t>
      </w:r>
      <w:r w:rsidRPr="00352C37">
        <w:rPr>
          <w:rFonts w:cs="Abz-2 (Badr)" w:hint="cs"/>
          <w:rtl/>
          <w:lang w:bidi="fa-IR"/>
        </w:rPr>
        <w:t>راجع: محاضرات في أُصول الفقه،ج4،ص293.</w:t>
      </w:r>
    </w:p>
  </w:footnote>
  <w:footnote w:id="7">
    <w:p w14:paraId="565C505C" w14:textId="77777777" w:rsidR="00B2630B" w:rsidRPr="00352C37" w:rsidRDefault="00B2630B" w:rsidP="00B2630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sidRPr="00352C37">
        <w:rPr>
          <w:rFonts w:cs="Abz-2 (Badr)" w:hint="cs"/>
          <w:rtl/>
          <w:lang w:bidi="fa-IR"/>
        </w:rPr>
        <w:t>راجع: کفاية الأ</w:t>
      </w:r>
      <w:r>
        <w:rPr>
          <w:rFonts w:cs="Abz-2 (Badr)" w:hint="cs"/>
          <w:rtl/>
          <w:lang w:bidi="fa-IR"/>
        </w:rPr>
        <w:t>ُ</w:t>
      </w:r>
      <w:r w:rsidRPr="00352C37">
        <w:rPr>
          <w:rFonts w:cs="Abz-2 (Badr)" w:hint="cs"/>
          <w:rtl/>
          <w:lang w:bidi="fa-IR"/>
        </w:rPr>
        <w:t>صول،ص210.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9FEC" w14:textId="77777777" w:rsidR="00B26C06" w:rsidRDefault="00B26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655D9D9B" w:rsidR="008666ED" w:rsidRDefault="008666ED" w:rsidP="008666ED">
                          <w:pPr>
                            <w:bidi/>
                          </w:pPr>
                          <w:r>
                            <w:rPr>
                              <w:rFonts w:cs="B Mehr" w:hint="cs"/>
                              <w:rtl/>
                            </w:rPr>
                            <w:t xml:space="preserve">تاریخ :  </w:t>
                          </w:r>
                          <w:r>
                            <w:rPr>
                              <w:rFonts w:cs="B Mehr" w:hint="cs"/>
                              <w:rtl/>
                              <w:lang w:bidi="fa-IR"/>
                            </w:rPr>
                            <w:t xml:space="preserve"> </w:t>
                          </w:r>
                          <w:r w:rsidR="001F6F30">
                            <w:rPr>
                              <w:rFonts w:cs="B Mehr" w:hint="cs"/>
                              <w:rtl/>
                              <w:lang w:bidi="fa-IR"/>
                            </w:rPr>
                            <w:t xml:space="preserve"> </w:t>
                          </w:r>
                          <w:r w:rsidR="00B2630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2630B">
                            <w:rPr>
                              <w:rFonts w:cs="B Mehr" w:hint="cs"/>
                              <w:rtl/>
                              <w:lang w:bidi="fa-IR"/>
                            </w:rPr>
                            <w:t>1</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655D9D9B" w:rsidR="008666ED" w:rsidRDefault="008666ED" w:rsidP="008666ED">
                    <w:pPr>
                      <w:bidi/>
                    </w:pPr>
                    <w:r>
                      <w:rPr>
                        <w:rFonts w:cs="B Mehr" w:hint="cs"/>
                        <w:rtl/>
                      </w:rPr>
                      <w:t xml:space="preserve">تاریخ :  </w:t>
                    </w:r>
                    <w:r>
                      <w:rPr>
                        <w:rFonts w:cs="B Mehr" w:hint="cs"/>
                        <w:rtl/>
                        <w:lang w:bidi="fa-IR"/>
                      </w:rPr>
                      <w:t xml:space="preserve"> </w:t>
                    </w:r>
                    <w:r w:rsidR="001F6F30">
                      <w:rPr>
                        <w:rFonts w:cs="B Mehr" w:hint="cs"/>
                        <w:rtl/>
                        <w:lang w:bidi="fa-IR"/>
                      </w:rPr>
                      <w:t xml:space="preserve"> </w:t>
                    </w:r>
                    <w:r w:rsidR="00B2630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2630B">
                      <w:rPr>
                        <w:rFonts w:cs="B Mehr" w:hint="cs"/>
                        <w:rtl/>
                        <w:lang w:bidi="fa-IR"/>
                      </w:rPr>
                      <w:t>1</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C5A3" w14:textId="77777777" w:rsidR="00B26C06" w:rsidRDefault="00B26C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1D5B"/>
    <w:rsid w:val="004B20CA"/>
    <w:rsid w:val="004B2E67"/>
    <w:rsid w:val="004B3C1F"/>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4093</TotalTime>
  <Pages>1</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1184</cp:revision>
  <cp:lastPrinted>2025-04-15T09:36:00Z</cp:lastPrinted>
  <dcterms:created xsi:type="dcterms:W3CDTF">2022-10-16T08:36:00Z</dcterms:created>
  <dcterms:modified xsi:type="dcterms:W3CDTF">2025-09-24T07:37:00Z</dcterms:modified>
</cp:coreProperties>
</file>