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7A1CFE" w14:textId="77777777" w:rsidR="002336B6" w:rsidRPr="00C27AEE" w:rsidRDefault="002336B6" w:rsidP="002336B6">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7B6E183" w14:textId="77777777" w:rsidR="002336B6" w:rsidRDefault="002336B6" w:rsidP="002336B6">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6DF642FE" w14:textId="77777777" w:rsidR="002336B6" w:rsidRDefault="002336B6" w:rsidP="002336B6">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932</w:t>
      </w:r>
    </w:p>
    <w:bookmarkEnd w:id="0"/>
    <w:p w14:paraId="1B74FEDD" w14:textId="77777777" w:rsidR="002336B6" w:rsidRDefault="002336B6" w:rsidP="002336B6">
      <w:pPr>
        <w:widowControl w:val="0"/>
        <w:bidi/>
        <w:spacing w:before="240" w:line="259" w:lineRule="auto"/>
        <w:ind w:firstLine="289"/>
        <w:jc w:val="both"/>
        <w:rPr>
          <w:rFonts w:ascii="Amiri" w:hAnsi="Amiri" w:cs="Amiri"/>
          <w:b/>
          <w:bCs/>
          <w:sz w:val="24"/>
          <w:szCs w:val="24"/>
          <w:rtl/>
          <w:lang w:bidi="fa-IR"/>
        </w:rPr>
      </w:pPr>
    </w:p>
    <w:p w14:paraId="72623009" w14:textId="77777777" w:rsidR="002336B6" w:rsidRDefault="002336B6" w:rsidP="002336B6">
      <w:pPr>
        <w:widowControl w:val="0"/>
        <w:bidi/>
        <w:spacing w:before="240" w:line="259" w:lineRule="auto"/>
        <w:ind w:firstLine="289"/>
        <w:jc w:val="both"/>
        <w:rPr>
          <w:rFonts w:cs="2  Mitra"/>
          <w:sz w:val="28"/>
          <w:szCs w:val="28"/>
          <w:rtl/>
          <w:lang w:bidi="fa-IR"/>
        </w:rPr>
      </w:pPr>
      <w:r>
        <w:rPr>
          <w:rFonts w:cs="2  Mitra" w:hint="cs"/>
          <w:sz w:val="28"/>
          <w:szCs w:val="28"/>
          <w:rtl/>
          <w:lang w:bidi="fa-IR"/>
        </w:rPr>
        <w:t xml:space="preserve">در بيان ضابطه برای مقام اثبات بهتر است اين گونه گفته شود که اگر متعلق يا موضوع حکم، از اموری باشد که عرفاً دارای استمرار است به نحوی که مخاطب در انتظار ذکر غايت برای آن است ـ مثل «صوم» در </w:t>
      </w:r>
      <w:r w:rsidRPr="00C4250B">
        <w:rPr>
          <w:rFonts w:cs="QuranTaha" w:hint="cs"/>
          <w:color w:val="BF8F00" w:themeColor="accent4" w:themeShade="BF"/>
          <w:sz w:val="26"/>
          <w:szCs w:val="26"/>
          <w:rtl/>
        </w:rPr>
        <w:t>«ثُمَّ أَتِمُّوا الصِّيَامَ إِلَى اللَّيْلِ»</w:t>
      </w:r>
      <w:r w:rsidRPr="00A060A3">
        <w:rPr>
          <w:rStyle w:val="FootnoteReference"/>
          <w:rFonts w:cs="2  Mitra"/>
          <w:sz w:val="28"/>
          <w:szCs w:val="28"/>
          <w:rtl/>
          <w:lang w:bidi="fa-IR"/>
        </w:rPr>
        <w:footnoteReference w:id="2"/>
      </w:r>
      <w:r>
        <w:rPr>
          <w:rFonts w:cs="2  Mitra" w:hint="cs"/>
          <w:sz w:val="28"/>
          <w:szCs w:val="28"/>
          <w:rtl/>
        </w:rPr>
        <w:t xml:space="preserve"> و يا «جهاد» در </w:t>
      </w:r>
      <w:r w:rsidRPr="00C4250B">
        <w:rPr>
          <w:rFonts w:cs="QuranTaha" w:hint="cs"/>
          <w:color w:val="BF8F00" w:themeColor="accent4" w:themeShade="BF"/>
          <w:sz w:val="26"/>
          <w:szCs w:val="26"/>
          <w:rtl/>
        </w:rPr>
        <w:t>«فَإِذَا لَقِيتُمُ الَّذِينَ كَفَرُوا فَضَرْبَ الرِّقَابِ حَتَّىٰ إِذَا أَثْخَنْتُمُوهُمْ»</w:t>
      </w:r>
      <w:r w:rsidRPr="00A060A3">
        <w:rPr>
          <w:rStyle w:val="FootnoteReference"/>
          <w:rFonts w:cs="2  Mitra"/>
          <w:sz w:val="28"/>
          <w:szCs w:val="28"/>
          <w:rtl/>
          <w:lang w:bidi="fa-IR"/>
        </w:rPr>
        <w:footnoteReference w:id="3"/>
      </w:r>
      <w:r>
        <w:rPr>
          <w:rFonts w:cs="QuranTaha" w:hint="cs"/>
          <w:sz w:val="26"/>
          <w:szCs w:val="26"/>
          <w:rtl/>
        </w:rPr>
        <w:t xml:space="preserve"> </w:t>
      </w:r>
      <w:r w:rsidRPr="008F7DD8">
        <w:rPr>
          <w:rFonts w:cs="2  Mitra" w:hint="cs"/>
          <w:sz w:val="28"/>
          <w:szCs w:val="28"/>
          <w:rtl/>
          <w:lang w:bidi="fa-IR"/>
        </w:rPr>
        <w:t xml:space="preserve">ـ </w:t>
      </w:r>
      <w:r>
        <w:rPr>
          <w:rFonts w:cs="2  Mitra" w:hint="cs"/>
          <w:sz w:val="28"/>
          <w:szCs w:val="28"/>
          <w:rtl/>
          <w:lang w:bidi="fa-IR"/>
        </w:rPr>
        <w:t>در اين صورت غايت مذکور در کلام حمل بر غايت موضوع يا متعلق می</w:t>
      </w:r>
      <w:r>
        <w:rPr>
          <w:rFonts w:cs="2  Mitra"/>
          <w:sz w:val="28"/>
          <w:szCs w:val="28"/>
          <w:rtl/>
          <w:lang w:bidi="fa-IR"/>
        </w:rPr>
        <w:softHyphen/>
      </w:r>
      <w:r>
        <w:rPr>
          <w:rFonts w:cs="2  Mitra" w:hint="cs"/>
          <w:sz w:val="28"/>
          <w:szCs w:val="28"/>
          <w:rtl/>
          <w:lang w:bidi="fa-IR"/>
        </w:rPr>
        <w:t>گردد، وگرنه غايت مربوط به حکم خواهد بود، چه حکم مستفاد از هيأت باشد و چه مستفاد از ماده.</w:t>
      </w:r>
    </w:p>
    <w:p w14:paraId="3BD9BB9C" w14:textId="77777777" w:rsidR="002336B6" w:rsidRDefault="002336B6" w:rsidP="002336B6">
      <w:pPr>
        <w:widowControl w:val="0"/>
        <w:bidi/>
        <w:spacing w:before="240" w:line="259" w:lineRule="auto"/>
        <w:ind w:firstLine="289"/>
        <w:jc w:val="both"/>
        <w:rPr>
          <w:rFonts w:cs="2  Mitra"/>
          <w:sz w:val="28"/>
          <w:szCs w:val="28"/>
          <w:rtl/>
          <w:lang w:bidi="fa-IR"/>
        </w:rPr>
      </w:pPr>
      <w:r>
        <w:rPr>
          <w:rFonts w:cs="2  Mitra" w:hint="cs"/>
          <w:sz w:val="28"/>
          <w:szCs w:val="28"/>
          <w:rtl/>
          <w:lang w:bidi="fa-IR"/>
        </w:rPr>
        <w:t>و به اين ترتیب معلوم می</w:t>
      </w:r>
      <w:r>
        <w:rPr>
          <w:rFonts w:cs="2  Mitra"/>
          <w:sz w:val="28"/>
          <w:szCs w:val="28"/>
          <w:rtl/>
          <w:lang w:bidi="fa-IR"/>
        </w:rPr>
        <w:softHyphen/>
      </w:r>
      <w:r>
        <w:rPr>
          <w:rFonts w:cs="2  Mitra" w:hint="cs"/>
          <w:sz w:val="28"/>
          <w:szCs w:val="28"/>
          <w:rtl/>
          <w:lang w:bidi="fa-IR"/>
        </w:rPr>
        <w:t>شود که غايتی که در آيه وضو آمده است نيز، غايت برای متعلق ـ يعنی: غسل ـ است نه غايت موضوع ـ يعنی: يد ـ زيرا آنچه که در اين آيه عرفاً دارای استمرار بوده و نيازمند بيان غايت است، متعلق است نه موضوع.</w:t>
      </w:r>
    </w:p>
    <w:p w14:paraId="2AFF30B5" w14:textId="77777777" w:rsidR="002336B6" w:rsidRDefault="002336B6" w:rsidP="002336B6">
      <w:pPr>
        <w:widowControl w:val="0"/>
        <w:bidi/>
        <w:spacing w:line="259" w:lineRule="auto"/>
        <w:ind w:firstLine="284"/>
        <w:jc w:val="center"/>
        <w:rPr>
          <w:rFonts w:cs="B Mitra"/>
          <w:b/>
          <w:bCs/>
          <w:sz w:val="32"/>
          <w:szCs w:val="32"/>
          <w:rtl/>
          <w:lang w:bidi="fa-IR"/>
        </w:rPr>
      </w:pPr>
    </w:p>
    <w:p w14:paraId="1AFC4BD9" w14:textId="77777777" w:rsidR="002336B6" w:rsidRPr="00793CF2" w:rsidRDefault="002336B6" w:rsidP="002336B6">
      <w:pPr>
        <w:widowControl w:val="0"/>
        <w:bidi/>
        <w:spacing w:line="259" w:lineRule="auto"/>
        <w:ind w:firstLine="284"/>
        <w:jc w:val="center"/>
        <w:rPr>
          <w:rFonts w:cs="B Mitra"/>
          <w:b/>
          <w:bCs/>
          <w:sz w:val="32"/>
          <w:szCs w:val="32"/>
          <w:rtl/>
          <w:lang w:bidi="fa-IR"/>
        </w:rPr>
      </w:pPr>
      <w:r w:rsidRPr="00793CF2">
        <w:rPr>
          <w:rFonts w:cs="B Mitra" w:hint="cs"/>
          <w:b/>
          <w:bCs/>
          <w:sz w:val="32"/>
          <w:szCs w:val="32"/>
          <w:rtl/>
          <w:lang w:bidi="fa-IR"/>
        </w:rPr>
        <w:t>مفهوم لقب</w:t>
      </w:r>
    </w:p>
    <w:p w14:paraId="5BF6913B" w14:textId="77777777" w:rsidR="002336B6" w:rsidRDefault="002336B6" w:rsidP="002336B6">
      <w:pPr>
        <w:widowControl w:val="0"/>
        <w:bidi/>
        <w:spacing w:before="240" w:line="264" w:lineRule="auto"/>
        <w:ind w:firstLine="289"/>
        <w:jc w:val="both"/>
        <w:rPr>
          <w:rFonts w:cs="2  Mitra"/>
          <w:sz w:val="28"/>
          <w:szCs w:val="28"/>
          <w:rtl/>
          <w:lang w:bidi="fa-IR"/>
        </w:rPr>
      </w:pPr>
      <w:r>
        <w:rPr>
          <w:rFonts w:cs="2  Mitra" w:hint="cs"/>
          <w:sz w:val="28"/>
          <w:szCs w:val="28"/>
          <w:rtl/>
          <w:lang w:bidi="fa-IR"/>
        </w:rPr>
        <w:t>ابتدای بحث برای این که بفهمیم مراد از لقب در نزد اصولیون چيست، به کلمات آنان مراجعه می</w:t>
      </w:r>
      <w:r>
        <w:rPr>
          <w:rFonts w:cs="2  Mitra"/>
          <w:sz w:val="28"/>
          <w:szCs w:val="28"/>
          <w:rtl/>
          <w:lang w:bidi="fa-IR"/>
        </w:rPr>
        <w:softHyphen/>
      </w:r>
      <w:r>
        <w:rPr>
          <w:rFonts w:cs="2  Mitra" w:hint="cs"/>
          <w:sz w:val="28"/>
          <w:szCs w:val="28"/>
          <w:rtl/>
          <w:lang w:bidi="fa-IR"/>
        </w:rPr>
        <w:t>کنيم.</w:t>
      </w:r>
    </w:p>
    <w:p w14:paraId="1D2E76A0" w14:textId="77777777" w:rsidR="002336B6" w:rsidRPr="00502B22" w:rsidRDefault="002336B6" w:rsidP="002336B6">
      <w:pPr>
        <w:widowControl w:val="0"/>
        <w:bidi/>
        <w:spacing w:before="240" w:line="264" w:lineRule="auto"/>
        <w:ind w:firstLine="289"/>
        <w:jc w:val="both"/>
        <w:rPr>
          <w:rFonts w:cs="Abz-2 (Badr)"/>
          <w:sz w:val="28"/>
          <w:szCs w:val="28"/>
          <w:rtl/>
          <w:lang w:bidi="fa-IR"/>
        </w:rPr>
      </w:pPr>
      <w:r>
        <w:rPr>
          <w:rFonts w:cs="2  Mitra" w:hint="cs"/>
          <w:sz w:val="28"/>
          <w:szCs w:val="28"/>
          <w:rtl/>
          <w:lang w:bidi="fa-IR"/>
        </w:rPr>
        <w:t>آمدی در توضيح مراد از لقب می</w:t>
      </w:r>
      <w:r>
        <w:rPr>
          <w:rFonts w:cs="2  Mitra"/>
          <w:sz w:val="28"/>
          <w:szCs w:val="28"/>
          <w:rtl/>
          <w:lang w:bidi="fa-IR"/>
        </w:rPr>
        <w:softHyphen/>
      </w:r>
      <w:r>
        <w:rPr>
          <w:rFonts w:cs="2  Mitra" w:hint="cs"/>
          <w:sz w:val="28"/>
          <w:szCs w:val="28"/>
          <w:rtl/>
          <w:lang w:bidi="fa-IR"/>
        </w:rPr>
        <w:t xml:space="preserve">گويد: </w:t>
      </w:r>
      <w:r w:rsidRPr="00C4250B">
        <w:rPr>
          <w:rFonts w:cs="2  Mitra" w:hint="cs"/>
          <w:color w:val="0070C0"/>
          <w:sz w:val="28"/>
          <w:szCs w:val="28"/>
          <w:rtl/>
          <w:lang w:bidi="fa-IR"/>
        </w:rPr>
        <w:t>«</w:t>
      </w:r>
      <w:r w:rsidRPr="00C4250B">
        <w:rPr>
          <w:rFonts w:cs="Abz-2 (Badr)"/>
          <w:color w:val="0070C0"/>
          <w:sz w:val="28"/>
          <w:szCs w:val="28"/>
          <w:rtl/>
          <w:lang w:bidi="fa-IR"/>
        </w:rPr>
        <w:t>صورته أن يعل</w:t>
      </w:r>
      <w:r w:rsidRPr="00C4250B">
        <w:rPr>
          <w:rFonts w:cs="Abz-2 (Badr)" w:hint="cs"/>
          <w:color w:val="0070C0"/>
          <w:sz w:val="28"/>
          <w:szCs w:val="28"/>
          <w:rtl/>
          <w:lang w:bidi="fa-IR"/>
        </w:rPr>
        <w:t>ّ</w:t>
      </w:r>
      <w:r w:rsidRPr="00C4250B">
        <w:rPr>
          <w:rFonts w:cs="Abz-2 (Badr)"/>
          <w:color w:val="0070C0"/>
          <w:sz w:val="28"/>
          <w:szCs w:val="28"/>
          <w:rtl/>
          <w:lang w:bidi="fa-IR"/>
        </w:rPr>
        <w:t>ق الحكم إم</w:t>
      </w:r>
      <w:r w:rsidRPr="00C4250B">
        <w:rPr>
          <w:rFonts w:cs="Abz-2 (Badr)" w:hint="cs"/>
          <w:color w:val="0070C0"/>
          <w:sz w:val="28"/>
          <w:szCs w:val="28"/>
          <w:rtl/>
          <w:lang w:bidi="fa-IR"/>
        </w:rPr>
        <w:t>ّ</w:t>
      </w:r>
      <w:r w:rsidRPr="00C4250B">
        <w:rPr>
          <w:rFonts w:cs="Abz-2 (Badr)"/>
          <w:color w:val="0070C0"/>
          <w:sz w:val="28"/>
          <w:szCs w:val="28"/>
          <w:rtl/>
          <w:lang w:bidi="fa-IR"/>
        </w:rPr>
        <w:t>ا باسم جنس</w:t>
      </w:r>
      <w:r w:rsidRPr="00C4250B">
        <w:rPr>
          <w:rFonts w:cs="Abz-2 (Badr)" w:hint="cs"/>
          <w:color w:val="0070C0"/>
          <w:sz w:val="28"/>
          <w:szCs w:val="28"/>
          <w:rtl/>
          <w:lang w:bidi="fa-IR"/>
        </w:rPr>
        <w:t>،</w:t>
      </w:r>
      <w:r w:rsidRPr="00C4250B">
        <w:rPr>
          <w:rFonts w:cs="Abz-2 (Badr)"/>
          <w:color w:val="0070C0"/>
          <w:sz w:val="28"/>
          <w:szCs w:val="28"/>
          <w:rtl/>
          <w:lang w:bidi="fa-IR"/>
        </w:rPr>
        <w:t xml:space="preserve"> كالتنصيص على الأشياء الست</w:t>
      </w:r>
      <w:r w:rsidRPr="00C4250B">
        <w:rPr>
          <w:rFonts w:cs="Abz-2 (Badr)" w:hint="cs"/>
          <w:color w:val="0070C0"/>
          <w:sz w:val="28"/>
          <w:szCs w:val="28"/>
          <w:rtl/>
          <w:lang w:bidi="fa-IR"/>
        </w:rPr>
        <w:t>ّ</w:t>
      </w:r>
      <w:r w:rsidRPr="00C4250B">
        <w:rPr>
          <w:rFonts w:cs="Abz-2 (Badr)"/>
          <w:color w:val="0070C0"/>
          <w:sz w:val="28"/>
          <w:szCs w:val="28"/>
          <w:rtl/>
          <w:lang w:bidi="fa-IR"/>
        </w:rPr>
        <w:t>ة</w:t>
      </w:r>
      <w:r w:rsidRPr="00C4250B">
        <w:rPr>
          <w:rStyle w:val="FootnoteReference"/>
          <w:rFonts w:cs="2  Mitra"/>
          <w:color w:val="0070C0"/>
          <w:sz w:val="28"/>
          <w:szCs w:val="28"/>
          <w:rtl/>
          <w:lang w:bidi="fa-IR"/>
        </w:rPr>
        <w:footnoteReference w:id="4"/>
      </w:r>
      <w:r w:rsidRPr="00C4250B">
        <w:rPr>
          <w:rFonts w:cs="Abz-2 (Badr)"/>
          <w:color w:val="0070C0"/>
          <w:sz w:val="28"/>
          <w:szCs w:val="28"/>
          <w:rtl/>
          <w:lang w:bidi="fa-IR"/>
        </w:rPr>
        <w:t xml:space="preserve"> بتحريم </w:t>
      </w:r>
      <w:r w:rsidRPr="00C4250B">
        <w:rPr>
          <w:rFonts w:cs="Abz-2 (Badr)"/>
          <w:color w:val="0070C0"/>
          <w:sz w:val="28"/>
          <w:szCs w:val="28"/>
          <w:rtl/>
          <w:lang w:bidi="fa-IR"/>
        </w:rPr>
        <w:lastRenderedPageBreak/>
        <w:t>الربا</w:t>
      </w:r>
      <w:r w:rsidRPr="00C4250B">
        <w:rPr>
          <w:rFonts w:cs="Abz-2 (Badr)" w:hint="cs"/>
          <w:color w:val="0070C0"/>
          <w:sz w:val="28"/>
          <w:szCs w:val="28"/>
          <w:rtl/>
          <w:lang w:bidi="fa-IR"/>
        </w:rPr>
        <w:t>،</w:t>
      </w:r>
      <w:r w:rsidRPr="00C4250B">
        <w:rPr>
          <w:rFonts w:cs="Abz-2 (Badr)"/>
          <w:color w:val="0070C0"/>
          <w:sz w:val="28"/>
          <w:szCs w:val="28"/>
          <w:rtl/>
          <w:lang w:bidi="fa-IR"/>
        </w:rPr>
        <w:t xml:space="preserve"> أو باسم علم كقول القائل</w:t>
      </w:r>
      <w:r w:rsidRPr="00C4250B">
        <w:rPr>
          <w:rFonts w:cs="Abz-2 (Badr)" w:hint="cs"/>
          <w:color w:val="0070C0"/>
          <w:sz w:val="28"/>
          <w:szCs w:val="28"/>
          <w:rtl/>
          <w:lang w:bidi="fa-IR"/>
        </w:rPr>
        <w:t>:</w:t>
      </w:r>
      <w:r w:rsidRPr="00C4250B">
        <w:rPr>
          <w:rFonts w:cs="Abz-2 (Badr)"/>
          <w:color w:val="0070C0"/>
          <w:sz w:val="28"/>
          <w:szCs w:val="28"/>
          <w:rtl/>
          <w:lang w:bidi="fa-IR"/>
        </w:rPr>
        <w:t xml:space="preserve"> </w:t>
      </w:r>
      <w:r w:rsidRPr="00C4250B">
        <w:rPr>
          <w:rFonts w:cs="Abz-2 (Badr)" w:hint="cs"/>
          <w:color w:val="0070C0"/>
          <w:sz w:val="28"/>
          <w:szCs w:val="28"/>
          <w:rtl/>
          <w:lang w:bidi="fa-IR"/>
        </w:rPr>
        <w:t>«</w:t>
      </w:r>
      <w:r w:rsidRPr="00C4250B">
        <w:rPr>
          <w:rFonts w:cs="Abz-2 (Badr)"/>
          <w:color w:val="0070C0"/>
          <w:sz w:val="28"/>
          <w:szCs w:val="28"/>
          <w:rtl/>
          <w:lang w:bidi="fa-IR"/>
        </w:rPr>
        <w:t>زيد قائم أو قام</w:t>
      </w:r>
      <w:r w:rsidRPr="00C4250B">
        <w:rPr>
          <w:rFonts w:cs="Abz-2 (Badr)" w:hint="cs"/>
          <w:color w:val="0070C0"/>
          <w:sz w:val="28"/>
          <w:szCs w:val="28"/>
          <w:rtl/>
          <w:lang w:bidi="fa-IR"/>
        </w:rPr>
        <w:t>».</w:t>
      </w:r>
      <w:r w:rsidRPr="00C4250B">
        <w:rPr>
          <w:rFonts w:cs="2  Mitra" w:hint="cs"/>
          <w:color w:val="0070C0"/>
          <w:sz w:val="28"/>
          <w:szCs w:val="28"/>
          <w:rtl/>
          <w:lang w:bidi="fa-IR"/>
        </w:rPr>
        <w:t>»</w:t>
      </w:r>
      <w:r w:rsidRPr="00793CF2">
        <w:rPr>
          <w:rFonts w:cs="2  Mitra" w:hint="cs"/>
          <w:sz w:val="28"/>
          <w:szCs w:val="28"/>
          <w:rtl/>
          <w:lang w:bidi="fa-IR"/>
        </w:rPr>
        <w:t>‏</w:t>
      </w:r>
      <w:r w:rsidRPr="00A060A3">
        <w:rPr>
          <w:rStyle w:val="FootnoteReference"/>
          <w:rFonts w:cs="2  Mitra"/>
          <w:sz w:val="28"/>
          <w:szCs w:val="28"/>
          <w:rtl/>
          <w:lang w:bidi="fa-IR"/>
        </w:rPr>
        <w:footnoteReference w:id="5"/>
      </w:r>
    </w:p>
    <w:p w14:paraId="1A89AB13" w14:textId="77777777" w:rsidR="002336B6" w:rsidRPr="00793CF2" w:rsidRDefault="002336B6" w:rsidP="002336B6">
      <w:pPr>
        <w:widowControl w:val="0"/>
        <w:bidi/>
        <w:spacing w:before="240" w:line="264" w:lineRule="auto"/>
        <w:ind w:firstLine="289"/>
        <w:jc w:val="both"/>
        <w:rPr>
          <w:rFonts w:cs="2  Mitra"/>
          <w:sz w:val="28"/>
          <w:szCs w:val="28"/>
          <w:rtl/>
          <w:lang w:bidi="fa-IR"/>
        </w:rPr>
      </w:pPr>
      <w:r>
        <w:rPr>
          <w:rFonts w:cs="2  Mitra" w:hint="cs"/>
          <w:sz w:val="28"/>
          <w:szCs w:val="28"/>
          <w:rtl/>
          <w:lang w:bidi="fa-IR"/>
        </w:rPr>
        <w:t>اما صاحب فصول می</w:t>
      </w:r>
      <w:r>
        <w:rPr>
          <w:rFonts w:cs="2  Mitra"/>
          <w:sz w:val="28"/>
          <w:szCs w:val="28"/>
          <w:rtl/>
          <w:lang w:bidi="fa-IR"/>
        </w:rPr>
        <w:softHyphen/>
      </w:r>
      <w:r>
        <w:rPr>
          <w:rFonts w:cs="2  Mitra" w:hint="cs"/>
          <w:sz w:val="28"/>
          <w:szCs w:val="28"/>
          <w:rtl/>
          <w:lang w:bidi="fa-IR"/>
        </w:rPr>
        <w:t xml:space="preserve">فرمايد: </w:t>
      </w:r>
      <w:r w:rsidRPr="00C4250B">
        <w:rPr>
          <w:rFonts w:cs="2  Mitra" w:hint="cs"/>
          <w:color w:val="0070C0"/>
          <w:sz w:val="28"/>
          <w:szCs w:val="28"/>
          <w:rtl/>
          <w:lang w:bidi="fa-IR"/>
        </w:rPr>
        <w:t>«</w:t>
      </w:r>
      <w:r w:rsidRPr="00C4250B">
        <w:rPr>
          <w:rFonts w:cs="Abz-2 (Badr)" w:hint="cs"/>
          <w:color w:val="0070C0"/>
          <w:sz w:val="28"/>
          <w:szCs w:val="28"/>
          <w:rtl/>
          <w:lang w:bidi="fa-IR"/>
        </w:rPr>
        <w:t>من المفاهيم مفهوم اللقب، وهو نفي الحكم عمّا لم يتناوله الاسم.</w:t>
      </w:r>
      <w:r w:rsidRPr="00C4250B">
        <w:rPr>
          <w:rFonts w:cs="2  Mitra" w:hint="cs"/>
          <w:color w:val="0070C0"/>
          <w:sz w:val="28"/>
          <w:szCs w:val="28"/>
          <w:rtl/>
          <w:lang w:bidi="fa-IR"/>
        </w:rPr>
        <w:t>»</w:t>
      </w:r>
      <w:r w:rsidRPr="00793CF2">
        <w:rPr>
          <w:rFonts w:cs="2  Mitra" w:hint="cs"/>
          <w:sz w:val="28"/>
          <w:szCs w:val="28"/>
          <w:rtl/>
          <w:lang w:bidi="fa-IR"/>
        </w:rPr>
        <w:t>‏</w:t>
      </w:r>
      <w:r w:rsidRPr="00A060A3">
        <w:rPr>
          <w:rStyle w:val="FootnoteReference"/>
          <w:rFonts w:cs="2  Mitra"/>
          <w:sz w:val="28"/>
          <w:szCs w:val="28"/>
          <w:rtl/>
          <w:lang w:bidi="fa-IR"/>
        </w:rPr>
        <w:footnoteReference w:id="6"/>
      </w:r>
    </w:p>
    <w:p w14:paraId="2E74AE4D" w14:textId="77777777" w:rsidR="002336B6" w:rsidRPr="00C4250B" w:rsidRDefault="002336B6" w:rsidP="002336B6">
      <w:pPr>
        <w:widowControl w:val="0"/>
        <w:bidi/>
        <w:spacing w:before="240" w:line="264" w:lineRule="auto"/>
        <w:ind w:firstLine="289"/>
        <w:jc w:val="both"/>
        <w:rPr>
          <w:rFonts w:cs="Abz-2 (Badr)"/>
          <w:color w:val="0070C0"/>
          <w:sz w:val="28"/>
          <w:szCs w:val="28"/>
          <w:lang w:bidi="fa-IR"/>
        </w:rPr>
      </w:pPr>
      <w:r>
        <w:rPr>
          <w:rFonts w:cs="2  Mitra" w:hint="cs"/>
          <w:sz w:val="28"/>
          <w:szCs w:val="28"/>
          <w:rtl/>
          <w:lang w:bidi="fa-IR"/>
        </w:rPr>
        <w:t xml:space="preserve">صاحب هدايه نيز فرموده است: </w:t>
      </w:r>
      <w:r w:rsidRPr="00C4250B">
        <w:rPr>
          <w:rFonts w:cs="2  Mitra" w:hint="cs"/>
          <w:color w:val="0070C0"/>
          <w:sz w:val="28"/>
          <w:szCs w:val="28"/>
          <w:rtl/>
          <w:lang w:bidi="fa-IR"/>
        </w:rPr>
        <w:t>«</w:t>
      </w:r>
      <w:r w:rsidRPr="00C4250B">
        <w:rPr>
          <w:rFonts w:cs="Abz-2 (Badr)" w:hint="cs"/>
          <w:color w:val="0070C0"/>
          <w:sz w:val="28"/>
          <w:szCs w:val="28"/>
          <w:rtl/>
          <w:lang w:bidi="fa-IR"/>
        </w:rPr>
        <w:t>المعروف بينهم التعبير به عن تعليق الحكم بالاسم، سواءً كان من الأعلام الشخصيّة أو من أسماء الأجناس من الأعمال، كأسماء العبادات والمعاملات، أو من سائر الأجناس أو الأنواع. وقيّده بعضهم بما إذا كان معرّفاً باللام وأطلق الباقون. ومنهم من قيّد الاسم بغير الصفة، وهو الظاهر من الباقين، لإطلاقهم اللقب في مقابلة الوصف.</w:t>
      </w:r>
    </w:p>
    <w:p w14:paraId="4D4F94DE" w14:textId="77777777" w:rsidR="002336B6" w:rsidRPr="00C4250B" w:rsidRDefault="002336B6" w:rsidP="002336B6">
      <w:pPr>
        <w:widowControl w:val="0"/>
        <w:bidi/>
        <w:spacing w:before="240" w:line="264" w:lineRule="auto"/>
        <w:ind w:firstLine="289"/>
        <w:jc w:val="both"/>
        <w:rPr>
          <w:rFonts w:cs="Abz-2 (Badr)"/>
          <w:color w:val="0070C0"/>
          <w:sz w:val="28"/>
          <w:szCs w:val="28"/>
          <w:rtl/>
          <w:lang w:bidi="fa-IR"/>
        </w:rPr>
      </w:pPr>
      <w:r w:rsidRPr="00C4250B">
        <w:rPr>
          <w:rFonts w:cs="Abz-2 (Badr)" w:hint="cs"/>
          <w:color w:val="0070C0"/>
          <w:sz w:val="28"/>
          <w:szCs w:val="28"/>
          <w:rtl/>
          <w:lang w:bidi="fa-IR"/>
        </w:rPr>
        <w:t>وزعم بعضهم أنّهم لم يفرّقوا بين كون الاسم المخصوص بالذكر جنساً أو نوعاً أو وصفاً، كـ «لا تصحب فاسقاً»، فيكون الفرق بين اللقب والوصف بذكر الموصوف وعدمه. وقد عرفت أنّ مفهوم الوصف أعمّ منه، فاللقب ما عداه.</w:t>
      </w:r>
    </w:p>
    <w:p w14:paraId="010EDAC6" w14:textId="77777777" w:rsidR="002336B6" w:rsidRPr="00E26095" w:rsidRDefault="002336B6" w:rsidP="002336B6">
      <w:pPr>
        <w:widowControl w:val="0"/>
        <w:bidi/>
        <w:spacing w:before="240" w:line="264" w:lineRule="auto"/>
        <w:ind w:firstLine="289"/>
        <w:jc w:val="both"/>
        <w:rPr>
          <w:rFonts w:cs="Abz-2 (Badr)"/>
          <w:sz w:val="28"/>
          <w:szCs w:val="28"/>
          <w:rtl/>
          <w:lang w:bidi="fa-IR"/>
        </w:rPr>
      </w:pPr>
      <w:r w:rsidRPr="00C4250B">
        <w:rPr>
          <w:rFonts w:cs="Abz-2 (Badr)" w:hint="cs"/>
          <w:color w:val="0070C0"/>
          <w:sz w:val="28"/>
          <w:szCs w:val="28"/>
          <w:rtl/>
          <w:lang w:bidi="fa-IR"/>
        </w:rPr>
        <w:t>وحكي عن بعضهم الفرق بين أسماء الأنواع فجعل لها مفهوماً دون أسماء الأشخاص، مع أنّ المعروف تمثيل المسألة بمثل: «زيد في الدار» وتصريحهم بالأعلام الشخصيّة في العنوان والاحتجاج.</w:t>
      </w:r>
      <w:r w:rsidRPr="00C4250B">
        <w:rPr>
          <w:rFonts w:cs="2  Mitra" w:hint="cs"/>
          <w:color w:val="0070C0"/>
          <w:sz w:val="28"/>
          <w:szCs w:val="28"/>
          <w:rtl/>
          <w:lang w:bidi="fa-IR"/>
        </w:rPr>
        <w:t>»</w:t>
      </w:r>
      <w:r w:rsidRPr="00C4250B">
        <w:rPr>
          <w:rFonts w:cs="Abz-2 (Badr)" w:hint="cs"/>
          <w:color w:val="0070C0"/>
          <w:sz w:val="28"/>
          <w:szCs w:val="28"/>
          <w:rtl/>
          <w:lang w:bidi="fa-IR"/>
        </w:rPr>
        <w:t>‏</w:t>
      </w:r>
      <w:r w:rsidRPr="00793CF2">
        <w:rPr>
          <w:rFonts w:cs="2  Mitra" w:hint="cs"/>
          <w:sz w:val="28"/>
          <w:szCs w:val="28"/>
          <w:rtl/>
          <w:lang w:bidi="fa-IR"/>
        </w:rPr>
        <w:t>‏</w:t>
      </w:r>
      <w:r w:rsidRPr="00A060A3">
        <w:rPr>
          <w:rStyle w:val="FootnoteReference"/>
          <w:rFonts w:cs="2  Mitra"/>
          <w:sz w:val="28"/>
          <w:szCs w:val="28"/>
          <w:rtl/>
          <w:lang w:bidi="fa-IR"/>
        </w:rPr>
        <w:footnoteReference w:id="7"/>
      </w:r>
    </w:p>
    <w:p w14:paraId="31EB9467" w14:textId="77777777" w:rsidR="002336B6" w:rsidRDefault="002336B6" w:rsidP="002336B6">
      <w:pPr>
        <w:widowControl w:val="0"/>
        <w:bidi/>
        <w:spacing w:before="240" w:line="264" w:lineRule="auto"/>
        <w:ind w:firstLine="289"/>
        <w:jc w:val="both"/>
        <w:rPr>
          <w:rFonts w:cs="2  Mitra"/>
          <w:sz w:val="28"/>
          <w:szCs w:val="28"/>
          <w:rtl/>
          <w:lang w:bidi="fa-IR"/>
        </w:rPr>
      </w:pPr>
      <w:r>
        <w:rPr>
          <w:rFonts w:cs="2  Mitra" w:hint="cs"/>
          <w:sz w:val="28"/>
          <w:szCs w:val="28"/>
          <w:rtl/>
          <w:lang w:bidi="fa-IR"/>
        </w:rPr>
        <w:t>ولی شيخ اعظم در خصوص مراد از لقب، بيان ديگری دارد که جله آينده آن را مطرح خواهیم کرد ان شاء الله.</w:t>
      </w:r>
    </w:p>
    <w:p w14:paraId="35A90F48" w14:textId="77777777" w:rsidR="002336B6" w:rsidRPr="00C10F36" w:rsidRDefault="002336B6" w:rsidP="002336B6">
      <w:pPr>
        <w:widowControl w:val="0"/>
        <w:bidi/>
        <w:spacing w:before="240" w:line="245" w:lineRule="auto"/>
        <w:ind w:firstLine="289"/>
        <w:jc w:val="both"/>
        <w:rPr>
          <w:rFonts w:cs="2  Mitra"/>
          <w:sz w:val="28"/>
          <w:szCs w:val="28"/>
          <w:rtl/>
          <w:lang w:bidi="fa-IR"/>
        </w:rPr>
      </w:pPr>
    </w:p>
    <w:p w14:paraId="7D9979DE" w14:textId="26D41A3F" w:rsidR="001B24FC" w:rsidRPr="009C5091" w:rsidRDefault="001B24FC" w:rsidP="009C5091">
      <w:pPr>
        <w:rPr>
          <w:rtl/>
        </w:rPr>
      </w:pPr>
    </w:p>
    <w:sectPr w:rsidR="001B24FC" w:rsidRPr="009C5091"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049C48" w14:textId="77777777" w:rsidR="001062D3" w:rsidRDefault="001062D3" w:rsidP="00C336C5">
      <w:pPr>
        <w:spacing w:after="0" w:line="240" w:lineRule="auto"/>
      </w:pPr>
      <w:r>
        <w:separator/>
      </w:r>
    </w:p>
  </w:endnote>
  <w:endnote w:type="continuationSeparator" w:id="0">
    <w:p w14:paraId="5DE8E7CC" w14:textId="77777777" w:rsidR="001062D3" w:rsidRDefault="001062D3" w:rsidP="00C336C5">
      <w:pPr>
        <w:spacing w:after="0" w:line="240" w:lineRule="auto"/>
      </w:pPr>
      <w:r>
        <w:continuationSeparator/>
      </w:r>
    </w:p>
  </w:endnote>
  <w:endnote w:type="continuationNotice" w:id="1">
    <w:p w14:paraId="72EB54D4" w14:textId="77777777" w:rsidR="001062D3" w:rsidRDefault="001062D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C7763" w14:textId="77777777" w:rsidR="001062D3" w:rsidRDefault="001062D3" w:rsidP="00C336C5">
      <w:pPr>
        <w:bidi/>
        <w:spacing w:after="0" w:line="240" w:lineRule="auto"/>
      </w:pPr>
      <w:r>
        <w:separator/>
      </w:r>
    </w:p>
  </w:footnote>
  <w:footnote w:type="continuationSeparator" w:id="0">
    <w:p w14:paraId="68D5E957" w14:textId="77777777" w:rsidR="001062D3" w:rsidRDefault="001062D3" w:rsidP="00C336C5">
      <w:pPr>
        <w:spacing w:after="0" w:line="240" w:lineRule="auto"/>
      </w:pPr>
      <w:r>
        <w:continuationSeparator/>
      </w:r>
    </w:p>
  </w:footnote>
  <w:footnote w:type="continuationNotice" w:id="1">
    <w:p w14:paraId="63FBB7DD" w14:textId="77777777" w:rsidR="001062D3" w:rsidRDefault="001062D3">
      <w:pPr>
        <w:spacing w:after="0" w:line="240" w:lineRule="auto"/>
      </w:pPr>
    </w:p>
  </w:footnote>
  <w:footnote w:id="2">
    <w:p w14:paraId="31BC16A9" w14:textId="77777777" w:rsidR="002336B6" w:rsidRPr="00DE53E8" w:rsidRDefault="002336B6" w:rsidP="002336B6">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بقره(2):187.</w:t>
      </w:r>
    </w:p>
  </w:footnote>
  <w:footnote w:id="3">
    <w:p w14:paraId="17BE16EE" w14:textId="77777777" w:rsidR="002336B6" w:rsidRPr="00DE53E8" w:rsidRDefault="002336B6" w:rsidP="002336B6">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محمّد(47):4.</w:t>
      </w:r>
    </w:p>
  </w:footnote>
  <w:footnote w:id="4">
    <w:p w14:paraId="72827183" w14:textId="77777777" w:rsidR="002336B6" w:rsidRPr="00DE53E8" w:rsidRDefault="002336B6" w:rsidP="002336B6">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يعنی: طلا، نقره، خرما، گندم، جو و نمک.</w:t>
      </w:r>
    </w:p>
  </w:footnote>
  <w:footnote w:id="5">
    <w:p w14:paraId="1149B29E" w14:textId="77777777" w:rsidR="002336B6" w:rsidRPr="00DE53E8" w:rsidRDefault="002336B6" w:rsidP="002336B6">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الإحکام في أُصول الأحکام،ج2،ص90.</w:t>
      </w:r>
    </w:p>
  </w:footnote>
  <w:footnote w:id="6">
    <w:p w14:paraId="53560CF9" w14:textId="77777777" w:rsidR="002336B6" w:rsidRPr="00DE53E8" w:rsidRDefault="002336B6" w:rsidP="002336B6">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الفصول الغرويّة،ص157.</w:t>
      </w:r>
    </w:p>
  </w:footnote>
  <w:footnote w:id="7">
    <w:p w14:paraId="273C816D" w14:textId="77777777" w:rsidR="002336B6" w:rsidRPr="00DE53E8" w:rsidRDefault="002336B6" w:rsidP="002336B6">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هداية المسترشدين،ج2،ص590.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57A926E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336B6">
                            <w:rPr>
                              <w:rFonts w:cs="B Mehr" w:hint="cs"/>
                              <w:rtl/>
                              <w:lang w:bidi="fa-IR"/>
                            </w:rPr>
                            <w:t>چهار</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336B6">
                            <w:rPr>
                              <w:rFonts w:cs="B Mehr" w:hint="cs"/>
                              <w:rtl/>
                              <w:lang w:bidi="fa-IR"/>
                            </w:rPr>
                            <w:t>31</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57A926E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336B6">
                      <w:rPr>
                        <w:rFonts w:cs="B Mehr" w:hint="cs"/>
                        <w:rtl/>
                        <w:lang w:bidi="fa-IR"/>
                      </w:rPr>
                      <w:t>چهار</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336B6">
                      <w:rPr>
                        <w:rFonts w:cs="B Mehr" w:hint="cs"/>
                        <w:rtl/>
                        <w:lang w:bidi="fa-IR"/>
                      </w:rPr>
                      <w:t>31</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2D3"/>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36B6"/>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2F65"/>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806"/>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689E"/>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091"/>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03710094">
      <w:bodyDiv w:val="1"/>
      <w:marLeft w:val="0"/>
      <w:marRight w:val="0"/>
      <w:marTop w:val="0"/>
      <w:marBottom w:val="0"/>
      <w:divBdr>
        <w:top w:val="none" w:sz="0" w:space="0" w:color="auto"/>
        <w:left w:val="none" w:sz="0" w:space="0" w:color="auto"/>
        <w:bottom w:val="none" w:sz="0" w:space="0" w:color="auto"/>
        <w:right w:val="none" w:sz="0" w:space="0" w:color="auto"/>
      </w:divBdr>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59072790">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4092</TotalTime>
  <Pages>1</Pages>
  <Words>291</Words>
  <Characters>1661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1177</cp:revision>
  <cp:lastPrinted>2025-04-15T09:36:00Z</cp:lastPrinted>
  <dcterms:created xsi:type="dcterms:W3CDTF">2022-10-16T08:36:00Z</dcterms:created>
  <dcterms:modified xsi:type="dcterms:W3CDTF">2025-05-21T09:03:00Z</dcterms:modified>
</cp:coreProperties>
</file>