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43130F" w14:textId="77777777" w:rsidR="00282F65" w:rsidRDefault="00282F65" w:rsidP="00282F65">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073F236F" w14:textId="77777777" w:rsidR="00282F65" w:rsidRDefault="00282F65" w:rsidP="00282F65">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1C3F0BE7" w14:textId="77777777" w:rsidR="00282F65" w:rsidRDefault="00282F65" w:rsidP="00282F65">
      <w:pPr>
        <w:widowControl w:val="0"/>
        <w:bidi/>
        <w:spacing w:after="240"/>
        <w:jc w:val="center"/>
        <w:rPr>
          <w:rFonts w:cs="B Mitra" w:hint="cs"/>
          <w:b/>
          <w:bCs/>
          <w:sz w:val="32"/>
          <w:szCs w:val="32"/>
          <w:rtl/>
          <w:lang w:bidi="fa-IR"/>
        </w:rPr>
      </w:pPr>
      <w:r>
        <w:rPr>
          <w:rFonts w:cs="B Mitra" w:hint="cs"/>
          <w:b/>
          <w:bCs/>
          <w:sz w:val="32"/>
          <w:szCs w:val="32"/>
          <w:rtl/>
          <w:lang w:bidi="fa-IR"/>
        </w:rPr>
        <w:t>جلسه 930</w:t>
      </w:r>
    </w:p>
    <w:bookmarkEnd w:id="0"/>
    <w:p w14:paraId="39B867B2" w14:textId="77777777" w:rsidR="00282F65" w:rsidRDefault="00282F65" w:rsidP="00282F65">
      <w:pPr>
        <w:widowControl w:val="0"/>
        <w:bidi/>
        <w:spacing w:before="240"/>
        <w:ind w:firstLine="289"/>
        <w:jc w:val="both"/>
        <w:rPr>
          <w:rFonts w:ascii="Amiri" w:hAnsi="Amiri" w:cs="Amiri" w:hint="cs"/>
          <w:b/>
          <w:bCs/>
          <w:sz w:val="24"/>
          <w:szCs w:val="24"/>
          <w:rtl/>
          <w:lang w:bidi="fa-IR"/>
        </w:rPr>
      </w:pPr>
    </w:p>
    <w:p w14:paraId="726EFC24" w14:textId="77777777" w:rsidR="00282F65" w:rsidRDefault="00282F65" w:rsidP="00282F65">
      <w:pPr>
        <w:widowControl w:val="0"/>
        <w:bidi/>
        <w:spacing w:before="240" w:line="252" w:lineRule="auto"/>
        <w:ind w:firstLine="289"/>
        <w:jc w:val="both"/>
        <w:rPr>
          <w:rFonts w:cs="2  Mitra"/>
          <w:sz w:val="28"/>
          <w:szCs w:val="28"/>
          <w:rtl/>
          <w:lang w:bidi="fa-IR"/>
        </w:rPr>
      </w:pPr>
      <w:r>
        <w:rPr>
          <w:rFonts w:cs="2  Mitra" w:hint="cs"/>
          <w:sz w:val="28"/>
          <w:szCs w:val="28"/>
          <w:rtl/>
          <w:lang w:bidi="fa-IR"/>
        </w:rPr>
        <w:t>جلسه قبل استدلال مرحوم آخوند در خصوص وجه عدم افاده مفهوم توسط غایت در صورت مغیی بودن موضوع و افاده مفهوم توسط آن در صورت مغیی بودن حکم را بيان کرديم.</w:t>
      </w:r>
    </w:p>
    <w:p w14:paraId="26CBE12C" w14:textId="77777777" w:rsidR="00282F65" w:rsidRDefault="00282F65" w:rsidP="00282F65">
      <w:pPr>
        <w:widowControl w:val="0"/>
        <w:bidi/>
        <w:spacing w:before="240" w:line="252" w:lineRule="auto"/>
        <w:ind w:firstLine="289"/>
        <w:jc w:val="both"/>
        <w:rPr>
          <w:rFonts w:cs="2  Mitra" w:hint="cs"/>
          <w:sz w:val="28"/>
          <w:szCs w:val="28"/>
          <w:rtl/>
          <w:lang w:bidi="fa-IR"/>
        </w:rPr>
      </w:pPr>
      <w:r>
        <w:rPr>
          <w:rFonts w:cs="2  Mitra" w:hint="cs"/>
          <w:sz w:val="28"/>
          <w:szCs w:val="28"/>
          <w:rtl/>
          <w:lang w:bidi="fa-IR"/>
        </w:rPr>
        <w:t>ولی بهتر است در بيان مطلب اين گونه گفته شود که غايت مطلقاً افاده مفهوم نمی</w:t>
      </w:r>
      <w:r>
        <w:rPr>
          <w:rFonts w:cs="2  Mitra" w:hint="cs"/>
          <w:sz w:val="28"/>
          <w:szCs w:val="28"/>
          <w:rtl/>
          <w:lang w:bidi="fa-IR"/>
        </w:rPr>
        <w:softHyphen/>
        <w:t>کند، زيرا ملاکی که برای افاده مفهوم توسط هر قيدی لازم است ـ يعنی عليّت انحصاری ـ  در غايت موجود نيست. اما چنانچه غايت، غايت حکم باشد، لازمه آن اين خواهد بود که پس از فرا رسيدن آن، حکم استمرار نداشته باشد، وگرنه مغيّی نخواهد بود و عدم استمرار حکم با رسيدن غايت، بدين معناست که پس از رسيدن غايت، آن حکم منتفی گردد، و چون اين معنا همان چيزی است که در صورت افاده مفهوم توسط قيدی از قيود موضوع از آن برداشت می</w:t>
      </w:r>
      <w:r>
        <w:rPr>
          <w:rFonts w:cs="2  Mitra" w:hint="cs"/>
          <w:sz w:val="28"/>
          <w:szCs w:val="28"/>
          <w:rtl/>
          <w:lang w:bidi="fa-IR"/>
        </w:rPr>
        <w:softHyphen/>
        <w:t>شود، از روی مسامحه اسم مفهوم غايت بر روی آن گذاشته شده است، هرچند در واقع اين معنا، مفهوم غايت نبوده و بلکه مدلول التزامی مغيّی بودن حکم است.</w:t>
      </w:r>
    </w:p>
    <w:p w14:paraId="768A24A1" w14:textId="77777777" w:rsidR="00282F65" w:rsidRDefault="00282F65" w:rsidP="00282F65">
      <w:pPr>
        <w:widowControl w:val="0"/>
        <w:bidi/>
        <w:spacing w:before="240" w:line="244" w:lineRule="auto"/>
        <w:ind w:firstLine="284"/>
        <w:jc w:val="both"/>
        <w:rPr>
          <w:rFonts w:cs="2  Mitra" w:hint="cs"/>
          <w:spacing w:val="-6"/>
          <w:sz w:val="28"/>
          <w:szCs w:val="28"/>
          <w:rtl/>
          <w:lang w:bidi="fa-IR"/>
        </w:rPr>
      </w:pPr>
      <w:r>
        <w:rPr>
          <w:rFonts w:cs="2  Mitra" w:hint="cs"/>
          <w:spacing w:val="-6"/>
          <w:sz w:val="28"/>
          <w:szCs w:val="28"/>
          <w:rtl/>
          <w:lang w:bidi="fa-IR"/>
        </w:rPr>
        <w:t>اين در حالی است که اگر غايت، غايت برای متعلق باشد، چنين لازمه</w:t>
      </w:r>
      <w:r>
        <w:rPr>
          <w:rFonts w:cs="2  Mitra" w:hint="cs"/>
          <w:spacing w:val="-6"/>
          <w:sz w:val="28"/>
          <w:szCs w:val="28"/>
          <w:rtl/>
          <w:lang w:bidi="fa-IR"/>
        </w:rPr>
        <w:softHyphen/>
        <w:t>ای در آن وجود ندارد، بلکه حداکثر اين است که با فرا رسيدن غايت، متعلق حکم منتفی گردد، و اين مطلب منافاتی با اين ندارد که حکم بتواند با تعلق به متعلقی ديگر، استمرار پيدا کند.</w:t>
      </w:r>
    </w:p>
    <w:p w14:paraId="2CAC37EA" w14:textId="77777777" w:rsidR="00282F65" w:rsidRDefault="00282F65" w:rsidP="00282F65">
      <w:pPr>
        <w:widowControl w:val="0"/>
        <w:bidi/>
        <w:spacing w:before="240" w:line="244" w:lineRule="auto"/>
        <w:ind w:firstLine="284"/>
        <w:jc w:val="both"/>
        <w:rPr>
          <w:rFonts w:cs="2  Mitra" w:hint="cs"/>
          <w:spacing w:val="-6"/>
          <w:sz w:val="28"/>
          <w:szCs w:val="28"/>
          <w:rtl/>
          <w:lang w:bidi="fa-IR"/>
        </w:rPr>
      </w:pPr>
      <w:r>
        <w:rPr>
          <w:rFonts w:cs="2  Mitra" w:hint="cs"/>
          <w:spacing w:val="-6"/>
          <w:sz w:val="28"/>
          <w:szCs w:val="28"/>
          <w:rtl/>
          <w:lang w:bidi="fa-IR"/>
        </w:rPr>
        <w:t>فرق اين که انتفاء حکم به انتفاء غايت در صورت مغیی بودن حکم را مدلول التزامی غايت بدانيم و يا مفهوم آن، در اين جا ظاهر می</w:t>
      </w:r>
      <w:r>
        <w:rPr>
          <w:rFonts w:cs="2  Mitra" w:hint="cs"/>
          <w:spacing w:val="-6"/>
          <w:sz w:val="28"/>
          <w:szCs w:val="28"/>
          <w:rtl/>
          <w:lang w:bidi="fa-IR"/>
        </w:rPr>
        <w:softHyphen/>
        <w:t>شود که در صورت اول، چنانچه تعارضی بين اين معنا و مفهومی ديگر مثل مفهوم شرط برقرار شد، از باب تقدم منطوق بر مفهوم، بايد مدلول التزامی غايت را مقدم بر مفهوم کنيم، در حالی که در فرض دوم، هيچ يک از دو مفهوم بر ديگری تقدم نخواهند داشت.</w:t>
      </w:r>
    </w:p>
    <w:p w14:paraId="65E9D68F" w14:textId="77777777" w:rsidR="00282F65" w:rsidRDefault="00282F65" w:rsidP="00282F65">
      <w:pPr>
        <w:widowControl w:val="0"/>
        <w:bidi/>
        <w:spacing w:before="240" w:line="244" w:lineRule="auto"/>
        <w:ind w:firstLine="284"/>
        <w:jc w:val="both"/>
        <w:rPr>
          <w:rFonts w:cs="Abz-2 (Badr)" w:hint="cs"/>
          <w:sz w:val="28"/>
          <w:szCs w:val="28"/>
          <w:rtl/>
          <w:lang w:bidi="fa-IR"/>
        </w:rPr>
      </w:pPr>
      <w:r>
        <w:rPr>
          <w:rFonts w:cs="2  Mitra" w:hint="cs"/>
          <w:sz w:val="28"/>
          <w:szCs w:val="28"/>
          <w:rtl/>
          <w:lang w:bidi="fa-IR"/>
        </w:rPr>
        <w:t>اما مرحوم محقق حائری بعد از اين که ابتدا به مانند مرحوم آخوند، قائل به تفصيل بين غايت حکم و غايت موضوع شده</w:t>
      </w:r>
      <w:r>
        <w:rPr>
          <w:rFonts w:cs="2  Mitra" w:hint="cs"/>
          <w:sz w:val="28"/>
          <w:szCs w:val="28"/>
          <w:rtl/>
          <w:lang w:bidi="fa-IR"/>
        </w:rPr>
        <w:softHyphen/>
        <w:t>اند، از اين مبنا رجوع کرده و فرموده</w:t>
      </w:r>
      <w:r>
        <w:rPr>
          <w:rFonts w:cs="2  Mitra" w:hint="cs"/>
          <w:sz w:val="28"/>
          <w:szCs w:val="28"/>
          <w:rtl/>
          <w:lang w:bidi="fa-IR"/>
        </w:rPr>
        <w:softHyphen/>
        <w:t>اند: «</w:t>
      </w:r>
      <w:r>
        <w:rPr>
          <w:rFonts w:cs="Abz-2 (Badr)" w:hint="cs"/>
          <w:sz w:val="28"/>
          <w:szCs w:val="28"/>
          <w:rtl/>
          <w:lang w:bidi="fa-IR"/>
        </w:rPr>
        <w:t xml:space="preserve">يمكن أن يقال بمنع المفهوم حتّى فيما أُخذ فيه الغاية قيداً للحكم ـ كما في: «اجلس من الصبح إلى الزوال» ـ لمساعدة الوجدان على أنّا لو قلنا بعد الكلام المذكور: «وإن جاء زيد فاجلس من الزوال إلى الغروب»، فليس فيه مخالفة لظاهر الكلام الأوّل. فهذا يكشف عن أنّ المغيّى ليس سنخ الحكم من أيّ علّة تحقّق، بل السنخ المعلول </w:t>
      </w:r>
      <w:r>
        <w:rPr>
          <w:rFonts w:cs="Abz-2 (Badr)" w:hint="cs"/>
          <w:sz w:val="28"/>
          <w:szCs w:val="28"/>
          <w:rtl/>
          <w:lang w:bidi="fa-IR"/>
        </w:rPr>
        <w:lastRenderedPageBreak/>
        <w:t>لعلّة خاصّة، سواء كانت مذكورة ـ كما في: «إن جاء زيد فاجلس من الصبح إلى الزوال» ـ أم كانت غير مذكورة، فإنّه مع عدم الذكر أيضاً تكون لا محالة هنا علّة يكون الحكم المذكور مسبّباً عنها.</w:t>
      </w:r>
      <w:r>
        <w:rPr>
          <w:rFonts w:cs="2  Mitra" w:hint="cs"/>
          <w:sz w:val="28"/>
          <w:szCs w:val="28"/>
          <w:rtl/>
          <w:lang w:bidi="fa-IR"/>
        </w:rPr>
        <w:t>»</w:t>
      </w:r>
      <w:r>
        <w:rPr>
          <w:rStyle w:val="FootnoteReference"/>
          <w:rFonts w:cs="2  Mitra"/>
          <w:sz w:val="28"/>
          <w:szCs w:val="28"/>
          <w:rtl/>
          <w:lang w:bidi="fa-IR"/>
        </w:rPr>
        <w:footnoteReference w:id="2"/>
      </w:r>
    </w:p>
    <w:p w14:paraId="56D921E3" w14:textId="77777777" w:rsidR="00282F65" w:rsidRDefault="00282F65" w:rsidP="00282F65">
      <w:pPr>
        <w:widowControl w:val="0"/>
        <w:bidi/>
        <w:spacing w:before="240" w:line="244" w:lineRule="auto"/>
        <w:ind w:firstLine="284"/>
        <w:jc w:val="both"/>
        <w:rPr>
          <w:rFonts w:cs="2  Mitra" w:hint="cs"/>
          <w:sz w:val="28"/>
          <w:szCs w:val="28"/>
          <w:rtl/>
          <w:lang w:bidi="fa-IR"/>
        </w:rPr>
      </w:pPr>
      <w:r>
        <w:rPr>
          <w:rFonts w:cs="2  Mitra" w:hint="cs"/>
          <w:spacing w:val="-2"/>
          <w:sz w:val="28"/>
          <w:szCs w:val="28"/>
          <w:rtl/>
          <w:lang w:bidi="fa-IR"/>
        </w:rPr>
        <w:t>اما واضح است که غايت در مثالی که ايشان مطرح کرده</w:t>
      </w:r>
      <w:r>
        <w:rPr>
          <w:rFonts w:cs="2  Mitra" w:hint="cs"/>
          <w:spacing w:val="-2"/>
          <w:sz w:val="28"/>
          <w:szCs w:val="28"/>
          <w:rtl/>
          <w:lang w:bidi="fa-IR"/>
        </w:rPr>
        <w:softHyphen/>
        <w:t>اند، غايت برای متعلق است نه غايت برای حکم. مضافاً بر اين که برای بررسی اين که قيدی از قيود موضوع افاده مفهوم می</w:t>
      </w:r>
      <w:r>
        <w:rPr>
          <w:rFonts w:cs="2  Mitra" w:hint="cs"/>
          <w:spacing w:val="-2"/>
          <w:sz w:val="28"/>
          <w:szCs w:val="28"/>
          <w:rtl/>
          <w:lang w:bidi="fa-IR"/>
        </w:rPr>
        <w:softHyphen/>
        <w:t>کند يا خير، بايد باقی قيود ثابت در نظر گرفته شده و فقط فرض بر اين باشد که همان قيد منتفی می</w:t>
      </w:r>
      <w:r>
        <w:rPr>
          <w:rFonts w:cs="2  Mitra" w:hint="cs"/>
          <w:spacing w:val="-2"/>
          <w:sz w:val="28"/>
          <w:szCs w:val="28"/>
          <w:rtl/>
          <w:lang w:bidi="fa-IR"/>
        </w:rPr>
        <w:softHyphen/>
        <w:t>گردد، وگرنه افاده يا عدم افاده مفهوم توسط قضيه منسوب به انتفاء آن قيد نخواهد بود.</w:t>
      </w:r>
    </w:p>
    <w:p w14:paraId="62F5D78E" w14:textId="77777777" w:rsidR="00282F65" w:rsidRDefault="00282F65" w:rsidP="00282F65">
      <w:pPr>
        <w:widowControl w:val="0"/>
        <w:bidi/>
        <w:spacing w:before="240" w:line="264" w:lineRule="auto"/>
        <w:ind w:firstLine="289"/>
        <w:jc w:val="both"/>
        <w:rPr>
          <w:rFonts w:cs="2  Mitra" w:hint="cs"/>
          <w:sz w:val="28"/>
          <w:szCs w:val="28"/>
          <w:rtl/>
          <w:lang w:bidi="fa-IR"/>
        </w:rPr>
      </w:pPr>
    </w:p>
    <w:p w14:paraId="7D9979DE" w14:textId="26D41A3F" w:rsidR="001B24FC" w:rsidRPr="00282F65" w:rsidRDefault="001B24FC" w:rsidP="00282F65">
      <w:pPr>
        <w:rPr>
          <w:rtl/>
        </w:rPr>
      </w:pPr>
    </w:p>
    <w:sectPr w:rsidR="001B24FC" w:rsidRPr="00282F65"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A0F743" w14:textId="77777777" w:rsidR="0092689E" w:rsidRDefault="0092689E" w:rsidP="00C336C5">
      <w:pPr>
        <w:spacing w:after="0" w:line="240" w:lineRule="auto"/>
      </w:pPr>
      <w:r>
        <w:separator/>
      </w:r>
    </w:p>
  </w:endnote>
  <w:endnote w:type="continuationSeparator" w:id="0">
    <w:p w14:paraId="6BD50B9D" w14:textId="77777777" w:rsidR="0092689E" w:rsidRDefault="0092689E" w:rsidP="00C336C5">
      <w:pPr>
        <w:spacing w:after="0" w:line="240" w:lineRule="auto"/>
      </w:pPr>
      <w:r>
        <w:continuationSeparator/>
      </w:r>
    </w:p>
  </w:endnote>
  <w:endnote w:type="continuationNotice" w:id="1">
    <w:p w14:paraId="0B84A704" w14:textId="77777777" w:rsidR="0092689E" w:rsidRDefault="0092689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9F59F" w14:textId="77777777" w:rsidR="00B26C06" w:rsidRDefault="00B26C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43714" w14:textId="77777777" w:rsidR="00B26C06" w:rsidRDefault="00B26C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E5F462" w14:textId="77777777" w:rsidR="0092689E" w:rsidRDefault="0092689E" w:rsidP="00C336C5">
      <w:pPr>
        <w:bidi/>
        <w:spacing w:after="0" w:line="240" w:lineRule="auto"/>
      </w:pPr>
      <w:r>
        <w:separator/>
      </w:r>
    </w:p>
  </w:footnote>
  <w:footnote w:type="continuationSeparator" w:id="0">
    <w:p w14:paraId="06E073DA" w14:textId="77777777" w:rsidR="0092689E" w:rsidRDefault="0092689E" w:rsidP="00C336C5">
      <w:pPr>
        <w:spacing w:after="0" w:line="240" w:lineRule="auto"/>
      </w:pPr>
      <w:r>
        <w:continuationSeparator/>
      </w:r>
    </w:p>
  </w:footnote>
  <w:footnote w:type="continuationNotice" w:id="1">
    <w:p w14:paraId="1CEB1DDA" w14:textId="77777777" w:rsidR="0092689E" w:rsidRDefault="0092689E">
      <w:pPr>
        <w:spacing w:after="0" w:line="240" w:lineRule="auto"/>
      </w:pPr>
    </w:p>
  </w:footnote>
  <w:footnote w:id="2">
    <w:p w14:paraId="0C5B577A" w14:textId="77777777" w:rsidR="00282F65" w:rsidRDefault="00282F65" w:rsidP="00282F65">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درر الفوائد،ص205 و 206، حاشيه 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39FEC" w14:textId="77777777" w:rsidR="00B26C06" w:rsidRDefault="00B26C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3F3B40B8"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82F65">
                            <w:rPr>
                              <w:rFonts w:cs="B Mehr" w:hint="cs"/>
                              <w:rtl/>
                              <w:lang w:bidi="fa-IR"/>
                            </w:rPr>
                            <w:t>یک</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282F65">
                            <w:rPr>
                              <w:rFonts w:cs="B Mehr" w:hint="cs"/>
                              <w:rtl/>
                              <w:lang w:bidi="fa-IR"/>
                            </w:rPr>
                            <w:t>28</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3F3B40B8"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82F65">
                      <w:rPr>
                        <w:rFonts w:cs="B Mehr" w:hint="cs"/>
                        <w:rtl/>
                        <w:lang w:bidi="fa-IR"/>
                      </w:rPr>
                      <w:t>یک</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282F65">
                      <w:rPr>
                        <w:rFonts w:cs="B Mehr" w:hint="cs"/>
                        <w:rtl/>
                        <w:lang w:bidi="fa-IR"/>
                      </w:rPr>
                      <w:t>28</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FC5A3" w14:textId="77777777" w:rsidR="00B26C06" w:rsidRDefault="00B26C0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32C7"/>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2F65"/>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B70A4"/>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0AFB"/>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85A"/>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5BF3"/>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582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989"/>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7C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689E"/>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3B4A"/>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6C06"/>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0B4D"/>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0E40"/>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4AC1"/>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222764528">
      <w:bodyDiv w:val="1"/>
      <w:marLeft w:val="0"/>
      <w:marRight w:val="0"/>
      <w:marTop w:val="0"/>
      <w:marBottom w:val="0"/>
      <w:divBdr>
        <w:top w:val="none" w:sz="0" w:space="0" w:color="auto"/>
        <w:left w:val="none" w:sz="0" w:space="0" w:color="auto"/>
        <w:bottom w:val="none" w:sz="0" w:space="0" w:color="auto"/>
        <w:right w:val="none" w:sz="0" w:space="0" w:color="auto"/>
      </w:divBdr>
    </w:div>
    <w:div w:id="270673937">
      <w:bodyDiv w:val="1"/>
      <w:marLeft w:val="0"/>
      <w:marRight w:val="0"/>
      <w:marTop w:val="0"/>
      <w:marBottom w:val="0"/>
      <w:divBdr>
        <w:top w:val="none" w:sz="0" w:space="0" w:color="auto"/>
        <w:left w:val="none" w:sz="0" w:space="0" w:color="auto"/>
        <w:bottom w:val="none" w:sz="0" w:space="0" w:color="auto"/>
        <w:right w:val="none" w:sz="0" w:space="0" w:color="auto"/>
      </w:divBdr>
    </w:div>
    <w:div w:id="296185279">
      <w:bodyDiv w:val="1"/>
      <w:marLeft w:val="0"/>
      <w:marRight w:val="0"/>
      <w:marTop w:val="0"/>
      <w:marBottom w:val="0"/>
      <w:divBdr>
        <w:top w:val="none" w:sz="0" w:space="0" w:color="auto"/>
        <w:left w:val="none" w:sz="0" w:space="0" w:color="auto"/>
        <w:bottom w:val="none" w:sz="0" w:space="0" w:color="auto"/>
        <w:right w:val="none" w:sz="0" w:space="0" w:color="auto"/>
      </w:divBdr>
    </w:div>
    <w:div w:id="366491627">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03710094">
      <w:bodyDiv w:val="1"/>
      <w:marLeft w:val="0"/>
      <w:marRight w:val="0"/>
      <w:marTop w:val="0"/>
      <w:marBottom w:val="0"/>
      <w:divBdr>
        <w:top w:val="none" w:sz="0" w:space="0" w:color="auto"/>
        <w:left w:val="none" w:sz="0" w:space="0" w:color="auto"/>
        <w:bottom w:val="none" w:sz="0" w:space="0" w:color="auto"/>
        <w:right w:val="none" w:sz="0" w:space="0" w:color="auto"/>
      </w:divBdr>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4091</TotalTime>
  <Pages>1</Pages>
  <Words>358</Words>
  <Characters>2044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1173</cp:revision>
  <cp:lastPrinted>2025-04-15T09:36:00Z</cp:lastPrinted>
  <dcterms:created xsi:type="dcterms:W3CDTF">2022-10-16T08:36:00Z</dcterms:created>
  <dcterms:modified xsi:type="dcterms:W3CDTF">2025-05-19T08:48:00Z</dcterms:modified>
</cp:coreProperties>
</file>