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67CF6" w14:textId="77777777" w:rsidR="00FE4AC1" w:rsidRDefault="00FE4AC1" w:rsidP="00FE4AC1">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1B24CDC6" w14:textId="77777777" w:rsidR="00FE4AC1" w:rsidRDefault="00FE4AC1" w:rsidP="00FE4AC1">
      <w:pPr>
        <w:widowControl w:val="0"/>
        <w:bidi/>
        <w:spacing w:after="0"/>
        <w:jc w:val="center"/>
        <w:rPr>
          <w:rFonts w:cs="B Mitra"/>
          <w:b/>
          <w:bCs/>
          <w:sz w:val="32"/>
          <w:szCs w:val="32"/>
          <w:rtl/>
          <w:lang w:bidi="fa-IR"/>
        </w:rPr>
      </w:pPr>
      <w:r>
        <w:rPr>
          <w:rFonts w:cs="B Mitra" w:hint="cs"/>
          <w:b/>
          <w:bCs/>
          <w:sz w:val="32"/>
          <w:szCs w:val="32"/>
          <w:rtl/>
          <w:lang w:bidi="fa-IR"/>
        </w:rPr>
        <w:t>تقریر بحث اصول</w:t>
      </w:r>
    </w:p>
    <w:p w14:paraId="6DF6E7B0" w14:textId="77777777" w:rsidR="00FE4AC1" w:rsidRDefault="00FE4AC1" w:rsidP="00FE4AC1">
      <w:pPr>
        <w:widowControl w:val="0"/>
        <w:bidi/>
        <w:spacing w:after="240"/>
        <w:jc w:val="center"/>
        <w:rPr>
          <w:rFonts w:cs="B Mitra"/>
          <w:b/>
          <w:bCs/>
          <w:sz w:val="32"/>
          <w:szCs w:val="32"/>
          <w:rtl/>
          <w:lang w:bidi="fa-IR"/>
        </w:rPr>
      </w:pPr>
      <w:r>
        <w:rPr>
          <w:rFonts w:cs="B Mitra" w:hint="cs"/>
          <w:b/>
          <w:bCs/>
          <w:sz w:val="32"/>
          <w:szCs w:val="32"/>
          <w:rtl/>
          <w:lang w:bidi="fa-IR"/>
        </w:rPr>
        <w:t>جلسه 929</w:t>
      </w:r>
    </w:p>
    <w:bookmarkEnd w:id="0"/>
    <w:p w14:paraId="34234512" w14:textId="77777777" w:rsidR="00FE4AC1" w:rsidRDefault="00FE4AC1" w:rsidP="00FE4AC1">
      <w:pPr>
        <w:widowControl w:val="0"/>
        <w:bidi/>
        <w:spacing w:before="240"/>
        <w:ind w:firstLine="289"/>
        <w:jc w:val="both"/>
        <w:rPr>
          <w:rFonts w:ascii="Amiri" w:hAnsi="Amiri" w:cs="Amiri"/>
          <w:b/>
          <w:bCs/>
          <w:sz w:val="24"/>
          <w:szCs w:val="24"/>
          <w:rtl/>
          <w:lang w:bidi="fa-IR"/>
        </w:rPr>
      </w:pPr>
    </w:p>
    <w:p w14:paraId="481DA060" w14:textId="77777777" w:rsidR="00FE4AC1" w:rsidRDefault="00FE4AC1" w:rsidP="00FE4AC1">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گفتیم که مرحوم آخوند در خصوص افاده مفهوم توسط غايت، بين غايت موضوع و غايت متعلق قائل به تفصیل شده</w:t>
      </w:r>
      <w:r>
        <w:rPr>
          <w:rFonts w:cs="2  Mitra" w:hint="cs"/>
          <w:spacing w:val="-2"/>
          <w:sz w:val="28"/>
          <w:szCs w:val="28"/>
          <w:rtl/>
          <w:lang w:bidi="fa-IR"/>
        </w:rPr>
        <w:softHyphen/>
        <w:t>اند.</w:t>
      </w:r>
    </w:p>
    <w:p w14:paraId="339E5EBD" w14:textId="77777777" w:rsidR="00FE4AC1" w:rsidRDefault="00FE4AC1" w:rsidP="00FE4AC1">
      <w:pPr>
        <w:widowControl w:val="0"/>
        <w:bidi/>
        <w:spacing w:before="240" w:line="264" w:lineRule="auto"/>
        <w:ind w:firstLine="289"/>
        <w:jc w:val="both"/>
        <w:rPr>
          <w:rFonts w:cs="2  Mitra"/>
          <w:sz w:val="28"/>
          <w:szCs w:val="28"/>
          <w:rtl/>
          <w:lang w:bidi="fa-IR"/>
        </w:rPr>
      </w:pPr>
      <w:r>
        <w:rPr>
          <w:rFonts w:cs="2  Mitra" w:hint="cs"/>
          <w:spacing w:val="-2"/>
          <w:sz w:val="28"/>
          <w:szCs w:val="28"/>
          <w:rtl/>
          <w:lang w:bidi="fa-IR"/>
        </w:rPr>
        <w:t>مرحوم آيت الله خویی در بيان اين که غايت در يک قضیه به چه اموری می</w:t>
      </w:r>
      <w:r>
        <w:rPr>
          <w:rFonts w:cs="2  Mitra" w:hint="cs"/>
          <w:spacing w:val="-2"/>
          <w:sz w:val="28"/>
          <w:szCs w:val="28"/>
          <w:rtl/>
          <w:lang w:bidi="fa-IR"/>
        </w:rPr>
        <w:softHyphen/>
        <w:t>تواند تعلق بگیرد می</w:t>
      </w:r>
      <w:r>
        <w:rPr>
          <w:rFonts w:cs="2  Mitra" w:hint="cs"/>
          <w:spacing w:val="-2"/>
          <w:sz w:val="28"/>
          <w:szCs w:val="28"/>
          <w:rtl/>
          <w:lang w:bidi="fa-IR"/>
        </w:rPr>
        <w:softHyphen/>
        <w:t>فرمايد: «</w:t>
      </w:r>
      <w:r>
        <w:rPr>
          <w:rFonts w:cs="Abz-2 (Badr)" w:hint="cs"/>
          <w:spacing w:val="-2"/>
          <w:sz w:val="28"/>
          <w:szCs w:val="28"/>
          <w:rtl/>
          <w:lang w:bidi="fa-IR"/>
        </w:rPr>
        <w:t xml:space="preserve">الغاية قد تكون غاية للموضوع، كما في مثل قوله تعالى: </w:t>
      </w:r>
      <w:r>
        <w:rPr>
          <w:rFonts w:cs="QuranTaha" w:hint="cs"/>
          <w:spacing w:val="-2"/>
          <w:sz w:val="26"/>
          <w:szCs w:val="26"/>
          <w:rtl/>
          <w:lang w:bidi="fa-IR"/>
        </w:rPr>
        <w:t>«فَاغْسِلُوا وُجُوهَكُمْ وَأَيْدِيَكُمْ إِلَى الْمَرافِقِ»</w:t>
      </w:r>
      <w:r>
        <w:rPr>
          <w:rStyle w:val="FootnoteReference"/>
          <w:rFonts w:cs="2  Mitra"/>
          <w:spacing w:val="-2"/>
          <w:sz w:val="28"/>
          <w:szCs w:val="28"/>
          <w:rtl/>
          <w:lang w:bidi="fa-IR"/>
        </w:rPr>
        <w:footnoteReference w:id="2"/>
      </w:r>
      <w:r>
        <w:rPr>
          <w:rFonts w:cs="Abz-2 (Badr)" w:hint="cs"/>
          <w:spacing w:val="-2"/>
          <w:sz w:val="28"/>
          <w:szCs w:val="28"/>
          <w:rtl/>
          <w:lang w:bidi="fa-IR"/>
        </w:rPr>
        <w:t xml:space="preserve">، وقد تكون غاية للمتعلّق، كقوله تعالى: </w:t>
      </w:r>
      <w:r>
        <w:rPr>
          <w:rFonts w:cs="QuranTaha" w:hint="cs"/>
          <w:spacing w:val="-2"/>
          <w:sz w:val="26"/>
          <w:szCs w:val="26"/>
          <w:rtl/>
          <w:lang w:bidi="fa-IR"/>
        </w:rPr>
        <w:t>«أَتِمُّوا الصِّيامَ إِلَى اللَّيْلِ»</w:t>
      </w:r>
      <w:r>
        <w:rPr>
          <w:rStyle w:val="FootnoteReference"/>
          <w:rFonts w:cs="2  Mitra"/>
          <w:spacing w:val="-2"/>
          <w:sz w:val="28"/>
          <w:szCs w:val="28"/>
          <w:rtl/>
          <w:lang w:bidi="fa-IR"/>
        </w:rPr>
        <w:footnoteReference w:id="3"/>
      </w:r>
      <w:r>
        <w:rPr>
          <w:rFonts w:cs="Abz-2 (Badr)" w:hint="cs"/>
          <w:spacing w:val="-2"/>
          <w:sz w:val="28"/>
          <w:szCs w:val="28"/>
          <w:rtl/>
          <w:lang w:bidi="fa-IR"/>
        </w:rPr>
        <w:t>، وقد تكون غاية للحكم، كقوله(ع): «كلّ شي‏ء لك حلال حتّى تعلم أنّه حرام»</w:t>
      </w:r>
      <w:r>
        <w:rPr>
          <w:rStyle w:val="FootnoteReference"/>
          <w:rFonts w:cs="2  Mitra"/>
          <w:spacing w:val="-2"/>
          <w:sz w:val="28"/>
          <w:szCs w:val="28"/>
          <w:rtl/>
          <w:lang w:bidi="fa-IR"/>
        </w:rPr>
        <w:footnoteReference w:id="4"/>
      </w:r>
      <w:r>
        <w:rPr>
          <w:rFonts w:cs="Abz-2 (Badr)" w:hint="cs"/>
          <w:spacing w:val="-2"/>
          <w:sz w:val="28"/>
          <w:szCs w:val="28"/>
          <w:rtl/>
          <w:lang w:bidi="fa-IR"/>
        </w:rPr>
        <w:t>، وقوله(ع): «كلّ شي‏ء نظيف حتّى تعلم أنّه قذر»</w:t>
      </w:r>
      <w:r>
        <w:rPr>
          <w:rStyle w:val="FootnoteReference"/>
          <w:rFonts w:cs="2  Mitra"/>
          <w:spacing w:val="-2"/>
          <w:sz w:val="28"/>
          <w:szCs w:val="28"/>
          <w:rtl/>
          <w:lang w:bidi="fa-IR"/>
        </w:rPr>
        <w:footnoteReference w:id="5"/>
      </w:r>
      <w:r>
        <w:rPr>
          <w:rFonts w:cs="Abz-2 (Badr)" w:hint="cs"/>
          <w:spacing w:val="-2"/>
          <w:sz w:val="28"/>
          <w:szCs w:val="28"/>
          <w:rtl/>
          <w:lang w:bidi="fa-IR"/>
        </w:rPr>
        <w:t>، أو كقولنا: «يحرم الخمر إلى أن يضطرّ المكلّف إليه»، فإنّ الغاية في أمثال هذه الموارد غاية للحكم دون المتعلّق أو الموضوع.</w:t>
      </w:r>
      <w:r>
        <w:rPr>
          <w:rFonts w:cs="2  Mitra" w:hint="cs"/>
          <w:spacing w:val="-2"/>
          <w:sz w:val="28"/>
          <w:szCs w:val="28"/>
          <w:rtl/>
          <w:lang w:bidi="fa-IR"/>
        </w:rPr>
        <w:t>»‏</w:t>
      </w:r>
      <w:r>
        <w:rPr>
          <w:rStyle w:val="FootnoteReference"/>
          <w:rFonts w:cs="2  Mitra"/>
          <w:sz w:val="28"/>
          <w:szCs w:val="28"/>
          <w:rtl/>
          <w:lang w:bidi="fa-IR"/>
        </w:rPr>
        <w:footnoteReference w:id="6"/>
      </w:r>
    </w:p>
    <w:p w14:paraId="5DA546A9" w14:textId="77777777" w:rsidR="00FE4AC1" w:rsidRDefault="00FE4AC1" w:rsidP="00FE4AC1">
      <w:pPr>
        <w:widowControl w:val="0"/>
        <w:bidi/>
        <w:spacing w:before="240" w:line="264" w:lineRule="auto"/>
        <w:ind w:firstLine="289"/>
        <w:jc w:val="both"/>
        <w:rPr>
          <w:rFonts w:cs="2  Mitra"/>
          <w:sz w:val="28"/>
          <w:szCs w:val="28"/>
          <w:rtl/>
          <w:lang w:bidi="fa-IR"/>
        </w:rPr>
      </w:pPr>
      <w:r>
        <w:rPr>
          <w:rFonts w:cs="2  Mitra" w:hint="cs"/>
          <w:sz w:val="28"/>
          <w:szCs w:val="28"/>
          <w:rtl/>
          <w:lang w:bidi="fa-IR"/>
        </w:rPr>
        <w:t>ممکن است به امکان مغیّی بودن موضوع حکم ـ بر اساس اصطلاحی که در آن بين موضوع حکم و متعلق آن فرق گذاشته می</w:t>
      </w:r>
      <w:r>
        <w:rPr>
          <w:rFonts w:cs="2  Mitra" w:hint="cs"/>
          <w:sz w:val="28"/>
          <w:szCs w:val="28"/>
          <w:rtl/>
          <w:lang w:bidi="fa-IR"/>
        </w:rPr>
        <w:softHyphen/>
        <w:t>شود ـ اشکال گرفته شده و ادعا شود که موضوع، نمی</w:t>
      </w:r>
      <w:r>
        <w:rPr>
          <w:rFonts w:cs="2  Mitra" w:hint="cs"/>
          <w:sz w:val="28"/>
          <w:szCs w:val="28"/>
          <w:rtl/>
          <w:lang w:bidi="fa-IR"/>
        </w:rPr>
        <w:softHyphen/>
        <w:t>تواند دارای غايت باشد، زيرا موضوع چيزی است که وجود آن در قضیه مفروض است و بر فرض وجود موضوع، حکم به متعلق خود تعلق می</w:t>
      </w:r>
      <w:r>
        <w:rPr>
          <w:rFonts w:cs="2  Mitra" w:hint="cs"/>
          <w:sz w:val="28"/>
          <w:szCs w:val="28"/>
          <w:rtl/>
          <w:lang w:bidi="fa-IR"/>
        </w:rPr>
        <w:softHyphen/>
        <w:t>گيرد و معلوم است که اگر موضوع مغيّی باشد، با رسيدن غايت منتفی خواهد شد، و اين مطلب منافات با فرض وجود آن دارد.</w:t>
      </w:r>
    </w:p>
    <w:p w14:paraId="28949E9B" w14:textId="77777777" w:rsidR="00FE4AC1" w:rsidRDefault="00FE4AC1" w:rsidP="00FE4AC1">
      <w:pPr>
        <w:widowControl w:val="0"/>
        <w:bidi/>
        <w:spacing w:before="240"/>
        <w:ind w:firstLine="289"/>
        <w:jc w:val="both"/>
        <w:rPr>
          <w:rFonts w:cs="2  Mitra"/>
          <w:sz w:val="28"/>
          <w:szCs w:val="28"/>
          <w:rtl/>
          <w:lang w:bidi="fa-IR"/>
        </w:rPr>
      </w:pPr>
      <w:r>
        <w:rPr>
          <w:rFonts w:cs="2  Mitra" w:hint="cs"/>
          <w:sz w:val="28"/>
          <w:szCs w:val="28"/>
          <w:rtl/>
          <w:lang w:bidi="fa-IR"/>
        </w:rPr>
        <w:lastRenderedPageBreak/>
        <w:t>به عبارت ديگر معقول نيست گفته شود: در فرض تحقق موضوعی که با فرا رسيدن غايت آن ديگر تحقق نخواهد داشت، حکم به متعلق تعلق می</w:t>
      </w:r>
      <w:r>
        <w:rPr>
          <w:rFonts w:cs="2  Mitra" w:hint="cs"/>
          <w:sz w:val="28"/>
          <w:szCs w:val="28"/>
          <w:rtl/>
          <w:lang w:bidi="fa-IR"/>
        </w:rPr>
        <w:softHyphen/>
        <w:t>گيرد.</w:t>
      </w:r>
    </w:p>
    <w:p w14:paraId="689578A6" w14:textId="77777777" w:rsidR="00FE4AC1" w:rsidRDefault="00FE4AC1" w:rsidP="00FE4AC1">
      <w:pPr>
        <w:widowControl w:val="0"/>
        <w:bidi/>
        <w:spacing w:before="240"/>
        <w:ind w:firstLine="289"/>
        <w:jc w:val="both"/>
        <w:rPr>
          <w:rFonts w:cs="2  Mitra"/>
          <w:sz w:val="28"/>
          <w:szCs w:val="28"/>
          <w:rtl/>
          <w:lang w:bidi="fa-IR"/>
        </w:rPr>
      </w:pPr>
      <w:r>
        <w:rPr>
          <w:rFonts w:cs="2  Mitra" w:hint="cs"/>
          <w:sz w:val="28"/>
          <w:szCs w:val="28"/>
          <w:rtl/>
          <w:lang w:bidi="fa-IR"/>
        </w:rPr>
        <w:t>اما پاسخ اين است که مغيّی بودن موضوع به معنای اين است که فرض بر اين گذاشته شده که شیء مغیّی، وجود دارد، نه اين که خود فرض وجود آن چيز، مغيّی به غايت شده باشد، و معلوم است که آنچه که منافات با فرض وجود چيزی دارد، مغیّی بودن اين فرض است نه مغیّی بودن شیء مفروض الوجود؛ مثلاً اگر گفته شود: «</w:t>
      </w:r>
      <w:r>
        <w:rPr>
          <w:rFonts w:cs="Abz-2 (Badr)" w:hint="cs"/>
          <w:sz w:val="28"/>
          <w:szCs w:val="28"/>
          <w:rtl/>
          <w:lang w:bidi="fa-IR"/>
        </w:rPr>
        <w:t>أرسل إليّ جميع الرسائل التي تمّ وصولها حتّی الساعة الثالثة</w:t>
      </w:r>
      <w:r>
        <w:rPr>
          <w:rFonts w:cs="2  Mitra" w:hint="cs"/>
          <w:sz w:val="28"/>
          <w:szCs w:val="28"/>
          <w:rtl/>
          <w:lang w:bidi="fa-IR"/>
        </w:rPr>
        <w:t>»، آنچه که در اين قضیه به عنوان موضوع آن مفروض واقع شده است، نامه</w:t>
      </w:r>
      <w:r>
        <w:rPr>
          <w:rFonts w:cs="2  Mitra" w:hint="cs"/>
          <w:sz w:val="28"/>
          <w:szCs w:val="28"/>
          <w:rtl/>
          <w:lang w:bidi="fa-IR"/>
        </w:rPr>
        <w:softHyphen/>
        <w:t>ای است که تا ساعت 3 دريافت شده باشد، نه اين که خود فرض دريافت نامه تا ساعت 3 باشد و پس از آن چنين فرضی وجود نداشته باشد.</w:t>
      </w:r>
    </w:p>
    <w:p w14:paraId="49425810" w14:textId="77777777" w:rsidR="00FE4AC1" w:rsidRDefault="00FE4AC1" w:rsidP="00FE4AC1">
      <w:pPr>
        <w:widowControl w:val="0"/>
        <w:bidi/>
        <w:spacing w:before="240"/>
        <w:ind w:firstLine="289"/>
        <w:jc w:val="both"/>
        <w:rPr>
          <w:rFonts w:cs="2  Mitra"/>
          <w:sz w:val="28"/>
          <w:szCs w:val="28"/>
          <w:rtl/>
          <w:lang w:bidi="fa-IR"/>
        </w:rPr>
      </w:pPr>
      <w:r>
        <w:rPr>
          <w:rFonts w:cs="2  Mitra" w:hint="cs"/>
          <w:sz w:val="28"/>
          <w:szCs w:val="28"/>
          <w:rtl/>
          <w:lang w:bidi="fa-IR"/>
        </w:rPr>
        <w:t>بايد توجه داشت که در برخی از قضایا ممکن است که رسيدن به غايت به عنوان شرط تحقق موضع مد نظر قرار گرفته شده باشد ـ مثل اين که بگويد: «</w:t>
      </w:r>
      <w:r>
        <w:rPr>
          <w:rFonts w:cs="Abz-2 (Badr)" w:hint="cs"/>
          <w:sz w:val="28"/>
          <w:szCs w:val="28"/>
          <w:rtl/>
        </w:rPr>
        <w:t>أحضر لي ماءً مسخّناً إلى خمسين درجة مئويّة</w:t>
      </w:r>
      <w:r>
        <w:rPr>
          <w:rFonts w:cs="2  Mitra" w:hint="cs"/>
          <w:sz w:val="28"/>
          <w:szCs w:val="28"/>
          <w:rtl/>
          <w:lang w:bidi="fa-IR"/>
        </w:rPr>
        <w:t>» ـ که در اين صورت، بحث از افاده مفهوم توسط غايت به اين معنا خواهد بود که آيا بدون نيل به غايت، حکمی وجود خواهد داشت يا اين که حکم منتفی خواهد بود؟</w:t>
      </w:r>
    </w:p>
    <w:p w14:paraId="11393CE6" w14:textId="77777777" w:rsidR="00FE4AC1" w:rsidRDefault="00FE4AC1" w:rsidP="00FE4AC1">
      <w:pPr>
        <w:widowControl w:val="0"/>
        <w:bidi/>
        <w:spacing w:before="240"/>
        <w:ind w:firstLine="289"/>
        <w:jc w:val="both"/>
        <w:rPr>
          <w:rFonts w:cs="2  Mitra"/>
          <w:sz w:val="28"/>
          <w:szCs w:val="28"/>
          <w:rtl/>
          <w:lang w:bidi="fa-IR"/>
        </w:rPr>
      </w:pPr>
      <w:r>
        <w:rPr>
          <w:rFonts w:cs="2  Mitra" w:hint="cs"/>
          <w:sz w:val="28"/>
          <w:szCs w:val="28"/>
          <w:rtl/>
          <w:lang w:bidi="fa-IR"/>
        </w:rPr>
        <w:t>البته مثالی که مرحوم آيت الله خوئی برای غايت موضوع ذکر کرده</w:t>
      </w:r>
      <w:r>
        <w:rPr>
          <w:rFonts w:cs="2  Mitra" w:hint="cs"/>
          <w:sz w:val="28"/>
          <w:szCs w:val="28"/>
          <w:rtl/>
          <w:lang w:bidi="fa-IR"/>
        </w:rPr>
        <w:softHyphen/>
        <w:t>اند، در واقع مثال برای غايت متعلق است، بدين معنا که «مرفق» غايت برای «غسل» است و موضوع حکم، چيزی بجز «يد» نيست، نه اين که موضوع را «يد إلی المرفق» بدانيم تا اين که «مرفق» بر اين اساس غايت موضوع باشد و وجه اين مطلب را در نهايت مسأله که در خصوص معيار اثباتی بحث خواهيم کرد، مطرح می</w:t>
      </w:r>
      <w:r>
        <w:rPr>
          <w:rFonts w:cs="2  Mitra" w:hint="cs"/>
          <w:sz w:val="28"/>
          <w:szCs w:val="28"/>
          <w:rtl/>
          <w:lang w:bidi="fa-IR"/>
        </w:rPr>
        <w:softHyphen/>
        <w:t>کنيم ان شاء الله.</w:t>
      </w:r>
    </w:p>
    <w:p w14:paraId="5BE20A49" w14:textId="77777777" w:rsidR="00FE4AC1" w:rsidRDefault="00FE4AC1" w:rsidP="00FE4AC1">
      <w:pPr>
        <w:widowControl w:val="0"/>
        <w:bidi/>
        <w:spacing w:before="240" w:line="252" w:lineRule="auto"/>
        <w:ind w:firstLine="289"/>
        <w:jc w:val="both"/>
        <w:rPr>
          <w:rFonts w:cs="2  Mitra"/>
          <w:sz w:val="28"/>
          <w:szCs w:val="28"/>
          <w:rtl/>
          <w:lang w:bidi="fa-IR"/>
        </w:rPr>
      </w:pPr>
      <w:r>
        <w:rPr>
          <w:rFonts w:cs="2  Mitra" w:hint="cs"/>
          <w:sz w:val="28"/>
          <w:szCs w:val="28"/>
          <w:rtl/>
          <w:lang w:bidi="fa-IR"/>
        </w:rPr>
        <w:t>مرحوم آخوند در استدلال بر اين که غايت اگر غايت حکم باشد، افاده مفهوم می</w:t>
      </w:r>
      <w:r>
        <w:rPr>
          <w:rFonts w:cs="2  Mitra" w:hint="cs"/>
          <w:sz w:val="28"/>
          <w:szCs w:val="28"/>
          <w:rtl/>
          <w:lang w:bidi="fa-IR"/>
        </w:rPr>
        <w:softHyphen/>
        <w:t>کند، می</w:t>
      </w:r>
      <w:r>
        <w:rPr>
          <w:rFonts w:cs="2  Mitra" w:hint="cs"/>
          <w:sz w:val="28"/>
          <w:szCs w:val="28"/>
          <w:rtl/>
          <w:lang w:bidi="fa-IR"/>
        </w:rPr>
        <w:softHyphen/>
        <w:t>فرمايد: دليل اين مطلب انسباقی است که از غايت در اين صورت به ذهن صورت می</w:t>
      </w:r>
      <w:r>
        <w:rPr>
          <w:rFonts w:cs="2  Mitra" w:hint="cs"/>
          <w:sz w:val="28"/>
          <w:szCs w:val="28"/>
          <w:rtl/>
          <w:lang w:bidi="fa-IR"/>
        </w:rPr>
        <w:softHyphen/>
        <w:t>گيرد، زيرا اگر حکم بعد از غايت منتفی نگردد، غايت مذکور غايت حکم نخواهد بود.</w:t>
      </w:r>
    </w:p>
    <w:p w14:paraId="09B17E58" w14:textId="77777777" w:rsidR="00FE4AC1" w:rsidRDefault="00FE4AC1" w:rsidP="00FE4AC1">
      <w:pPr>
        <w:widowControl w:val="0"/>
        <w:bidi/>
        <w:spacing w:before="240" w:line="252" w:lineRule="auto"/>
        <w:ind w:firstLine="289"/>
        <w:jc w:val="both"/>
        <w:rPr>
          <w:rFonts w:cs="2  Mitra"/>
          <w:sz w:val="28"/>
          <w:szCs w:val="28"/>
          <w:rtl/>
          <w:lang w:bidi="fa-IR"/>
        </w:rPr>
      </w:pPr>
      <w:r>
        <w:rPr>
          <w:rFonts w:cs="2  Mitra" w:hint="cs"/>
          <w:sz w:val="28"/>
          <w:szCs w:val="28"/>
          <w:rtl/>
          <w:lang w:bidi="fa-IR"/>
        </w:rPr>
        <w:t>و در استدلال بر اين که غايت چنانچه غایت موضوع باشد، افاده مفهوم نخواهد کرد، می</w:t>
      </w:r>
      <w:r>
        <w:rPr>
          <w:rFonts w:cs="2  Mitra" w:hint="cs"/>
          <w:sz w:val="28"/>
          <w:szCs w:val="28"/>
          <w:rtl/>
          <w:lang w:bidi="fa-IR"/>
        </w:rPr>
        <w:softHyphen/>
        <w:t>فرماید: در اين صورت غايت در حکم وصف خواهد بود و مقتضای آن چيزی بجز عدم حکم با انتفاء غايت نمی</w:t>
      </w:r>
      <w:r>
        <w:rPr>
          <w:rFonts w:cs="2  Mitra" w:hint="cs"/>
          <w:sz w:val="28"/>
          <w:szCs w:val="28"/>
          <w:rtl/>
          <w:lang w:bidi="fa-IR"/>
        </w:rPr>
        <w:softHyphen/>
        <w:t>باشد، بدون اين که دلالتی بر انتفاء سنخ حکم از غير مغیّی بنمايد، زیرا نه وضعاً چنين دلالتی در آن وجود دارد و نه اين که قرینه</w:t>
      </w:r>
      <w:r>
        <w:rPr>
          <w:rFonts w:cs="2  Mitra" w:hint="cs"/>
          <w:sz w:val="28"/>
          <w:szCs w:val="28"/>
          <w:rtl/>
          <w:lang w:bidi="fa-IR"/>
        </w:rPr>
        <w:softHyphen/>
        <w:t>ای ـ ولو به نحو غالبی ـ با آن همراه است که دلالت بر اختصاص حکم به مغیّی کند، و فائده تقييد موضوع به غايت، مانند فائده</w:t>
      </w:r>
      <w:r>
        <w:rPr>
          <w:rFonts w:cs="2  Mitra" w:hint="cs"/>
          <w:sz w:val="28"/>
          <w:szCs w:val="28"/>
          <w:rtl/>
          <w:lang w:bidi="fa-IR"/>
        </w:rPr>
        <w:softHyphen/>
        <w:t xml:space="preserve">ای است که در تقييد آن به قيود ديگر </w:t>
      </w:r>
      <w:r>
        <w:rPr>
          <w:rFonts w:cs="2  Mitra" w:hint="cs"/>
          <w:sz w:val="28"/>
          <w:szCs w:val="28"/>
          <w:rtl/>
          <w:lang w:bidi="fa-IR"/>
        </w:rPr>
        <w:lastRenderedPageBreak/>
        <w:t>وجود دارد که منحصر به افاده مفهوم نيست.</w:t>
      </w:r>
      <w:r>
        <w:rPr>
          <w:rStyle w:val="FootnoteReference"/>
          <w:rFonts w:cs="2  Mitra"/>
          <w:sz w:val="28"/>
          <w:szCs w:val="28"/>
          <w:rtl/>
          <w:lang w:bidi="fa-IR"/>
        </w:rPr>
        <w:footnoteReference w:id="7"/>
      </w:r>
    </w:p>
    <w:p w14:paraId="7948B80D" w14:textId="77777777" w:rsidR="00FE4AC1" w:rsidRDefault="00FE4AC1" w:rsidP="00FE4AC1">
      <w:pPr>
        <w:widowControl w:val="0"/>
        <w:bidi/>
        <w:spacing w:before="240" w:line="240" w:lineRule="auto"/>
        <w:ind w:firstLine="289"/>
        <w:jc w:val="both"/>
        <w:rPr>
          <w:rFonts w:cs="2  Mitra"/>
          <w:sz w:val="28"/>
          <w:szCs w:val="28"/>
          <w:rtl/>
          <w:lang w:bidi="fa-IR"/>
        </w:rPr>
      </w:pPr>
      <w:r>
        <w:rPr>
          <w:rFonts w:cs="2  Mitra" w:hint="cs"/>
          <w:sz w:val="28"/>
          <w:szCs w:val="28"/>
          <w:rtl/>
          <w:lang w:bidi="fa-IR"/>
        </w:rPr>
        <w:t>مناقشه در اين مطلب را به جلسه آينده موکول می</w:t>
      </w:r>
      <w:r>
        <w:rPr>
          <w:rFonts w:cs="2  Mitra" w:hint="cs"/>
          <w:sz w:val="28"/>
          <w:szCs w:val="28"/>
          <w:rtl/>
          <w:lang w:bidi="fa-IR"/>
        </w:rPr>
        <w:softHyphen/>
        <w:t>کنيم ان شاء الله.</w:t>
      </w:r>
    </w:p>
    <w:p w14:paraId="7D9979DE" w14:textId="26D41A3F" w:rsidR="001B24FC" w:rsidRPr="00FE4AC1" w:rsidRDefault="001B24FC" w:rsidP="00FE4AC1">
      <w:pPr>
        <w:rPr>
          <w:rtl/>
        </w:rPr>
      </w:pPr>
    </w:p>
    <w:sectPr w:rsidR="001B24FC" w:rsidRPr="00FE4AC1"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58E4D" w14:textId="77777777" w:rsidR="00EF6621" w:rsidRDefault="00EF6621" w:rsidP="00C336C5">
      <w:pPr>
        <w:spacing w:after="0" w:line="240" w:lineRule="auto"/>
      </w:pPr>
      <w:r>
        <w:separator/>
      </w:r>
    </w:p>
  </w:endnote>
  <w:endnote w:type="continuationSeparator" w:id="0">
    <w:p w14:paraId="12DA29B4" w14:textId="77777777" w:rsidR="00EF6621" w:rsidRDefault="00EF6621" w:rsidP="00C336C5">
      <w:pPr>
        <w:spacing w:after="0" w:line="240" w:lineRule="auto"/>
      </w:pPr>
      <w:r>
        <w:continuationSeparator/>
      </w:r>
    </w:p>
  </w:endnote>
  <w:endnote w:type="continuationNotice" w:id="1">
    <w:p w14:paraId="50194A0B" w14:textId="77777777" w:rsidR="00EF6621" w:rsidRDefault="00EF662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5587BE" w14:textId="77777777" w:rsidR="00EF6621" w:rsidRDefault="00EF6621" w:rsidP="00C336C5">
      <w:pPr>
        <w:bidi/>
        <w:spacing w:after="0" w:line="240" w:lineRule="auto"/>
      </w:pPr>
      <w:r>
        <w:separator/>
      </w:r>
    </w:p>
  </w:footnote>
  <w:footnote w:type="continuationSeparator" w:id="0">
    <w:p w14:paraId="588A06C7" w14:textId="77777777" w:rsidR="00EF6621" w:rsidRDefault="00EF6621" w:rsidP="00C336C5">
      <w:pPr>
        <w:spacing w:after="0" w:line="240" w:lineRule="auto"/>
      </w:pPr>
      <w:r>
        <w:continuationSeparator/>
      </w:r>
    </w:p>
  </w:footnote>
  <w:footnote w:type="continuationNotice" w:id="1">
    <w:p w14:paraId="35AD4797" w14:textId="77777777" w:rsidR="00EF6621" w:rsidRDefault="00EF6621">
      <w:pPr>
        <w:spacing w:after="0" w:line="240" w:lineRule="auto"/>
      </w:pPr>
    </w:p>
  </w:footnote>
  <w:footnote w:id="2">
    <w:p w14:paraId="75C9D2DD" w14:textId="77777777" w:rsidR="00FE4AC1" w:rsidRDefault="00FE4AC1" w:rsidP="00FE4AC1">
      <w:pPr>
        <w:pStyle w:val="FootnoteText"/>
        <w:bidi/>
        <w:jc w:val="left"/>
        <w:rPr>
          <w:rFonts w:cs="Abz-2 (Badr)"/>
          <w:rtl/>
          <w:lang w:bidi="fa-IR"/>
        </w:rPr>
      </w:pPr>
      <w:r>
        <w:rPr>
          <w:rStyle w:val="FootnoteReference"/>
          <w:rFonts w:cs="Abz-2 (Badr)"/>
        </w:rPr>
        <w:footnoteRef/>
      </w:r>
      <w:r>
        <w:rPr>
          <w:rFonts w:cs="Abz-2 (Badr)" w:hint="cs"/>
        </w:rPr>
        <w:t xml:space="preserve"> </w:t>
      </w:r>
      <w:r>
        <w:rPr>
          <w:rFonts w:cs="Abz-2 (Badr)" w:hint="cs"/>
          <w:rtl/>
        </w:rPr>
        <w:t>ـ البقرة(2):187.</w:t>
      </w:r>
    </w:p>
  </w:footnote>
  <w:footnote w:id="3">
    <w:p w14:paraId="5AAB6A22" w14:textId="77777777" w:rsidR="00FE4AC1" w:rsidRDefault="00FE4AC1" w:rsidP="00FE4AC1">
      <w:pPr>
        <w:pStyle w:val="FootnoteText"/>
        <w:bidi/>
        <w:jc w:val="left"/>
        <w:rPr>
          <w:rFonts w:cs="Abz-2 (Badr)"/>
          <w:rtl/>
          <w:lang w:bidi="fa-IR"/>
        </w:rPr>
      </w:pPr>
      <w:r>
        <w:rPr>
          <w:rStyle w:val="FootnoteReference"/>
          <w:rFonts w:cs="Abz-2 (Badr)"/>
        </w:rPr>
        <w:footnoteRef/>
      </w:r>
      <w:r>
        <w:rPr>
          <w:rFonts w:cs="Abz-2 (Badr)" w:hint="cs"/>
        </w:rPr>
        <w:t xml:space="preserve"> </w:t>
      </w:r>
      <w:r>
        <w:rPr>
          <w:rFonts w:cs="Abz-2 (Badr)" w:hint="cs"/>
          <w:rtl/>
        </w:rPr>
        <w:t>ـ المائدة(5):6.</w:t>
      </w:r>
    </w:p>
  </w:footnote>
  <w:footnote w:id="4">
    <w:p w14:paraId="7D13924F" w14:textId="77777777" w:rsidR="00FE4AC1" w:rsidRDefault="00FE4AC1" w:rsidP="00FE4AC1">
      <w:pPr>
        <w:pStyle w:val="FootnoteText"/>
        <w:bidi/>
        <w:jc w:val="left"/>
        <w:rPr>
          <w:rFonts w:cs="Abz-2 (Badr)"/>
          <w:rtl/>
          <w:lang w:bidi="fa-IR"/>
        </w:rPr>
      </w:pPr>
      <w:r>
        <w:rPr>
          <w:rStyle w:val="FootnoteReference"/>
          <w:rFonts w:cs="Abz-2 (Badr)"/>
        </w:rPr>
        <w:footnoteRef/>
      </w:r>
      <w:r>
        <w:rPr>
          <w:rFonts w:cs="Abz-2 (Badr)" w:hint="cs"/>
        </w:rPr>
        <w:t xml:space="preserve"> </w:t>
      </w:r>
      <w:r>
        <w:rPr>
          <w:rFonts w:cs="Abz-2 (Badr)" w:hint="cs"/>
          <w:rtl/>
        </w:rPr>
        <w:t>ـ کافی،ج5،ص313 و 314،ح40 ـ وسائل الشيعة،ج17،ص89، الباب 4 من أبواب ما يکتسب به،ح4.</w:t>
      </w:r>
    </w:p>
  </w:footnote>
  <w:footnote w:id="5">
    <w:p w14:paraId="72E0D97B" w14:textId="77777777" w:rsidR="00FE4AC1" w:rsidRDefault="00FE4AC1" w:rsidP="00FE4AC1">
      <w:pPr>
        <w:pStyle w:val="FootnoteText"/>
        <w:bidi/>
        <w:jc w:val="left"/>
        <w:rPr>
          <w:rFonts w:cs="Abz-2 (Badr)"/>
          <w:rtl/>
          <w:lang w:bidi="fa-IR"/>
        </w:rPr>
      </w:pPr>
      <w:r>
        <w:rPr>
          <w:rStyle w:val="FootnoteReference"/>
          <w:rFonts w:cs="Abz-2 (Badr)"/>
        </w:rPr>
        <w:footnoteRef/>
      </w:r>
      <w:r>
        <w:rPr>
          <w:rFonts w:cs="Abz-2 (Badr)" w:hint="cs"/>
        </w:rPr>
        <w:t xml:space="preserve"> </w:t>
      </w:r>
      <w:r>
        <w:rPr>
          <w:rFonts w:cs="Abz-2 (Badr)" w:hint="cs"/>
          <w:rtl/>
        </w:rPr>
        <w:t>ـ تهذيب الأحکام،ج1،ص284 و 285،ح832 ـ وسائل الشيعة،ج3،ص467، الباب 37 من أبواب النجاسات والأواني والجلود،ح4.</w:t>
      </w:r>
    </w:p>
  </w:footnote>
  <w:footnote w:id="6">
    <w:p w14:paraId="37043C65" w14:textId="77777777" w:rsidR="00FE4AC1" w:rsidRDefault="00FE4AC1" w:rsidP="00FE4AC1">
      <w:pPr>
        <w:pStyle w:val="FootnoteText"/>
        <w:bidi/>
        <w:jc w:val="left"/>
        <w:rPr>
          <w:rFonts w:cs="Abz-2 (Badr)"/>
          <w:rtl/>
          <w:lang w:bidi="fa-IR"/>
        </w:rPr>
      </w:pPr>
      <w:r>
        <w:rPr>
          <w:rStyle w:val="FootnoteReference"/>
          <w:rFonts w:cs="Abz-2 (Badr)"/>
        </w:rPr>
        <w:footnoteRef/>
      </w:r>
      <w:r>
        <w:rPr>
          <w:rFonts w:cs="Abz-2 (Badr)" w:hint="cs"/>
        </w:rPr>
        <w:t xml:space="preserve"> </w:t>
      </w:r>
      <w:r>
        <w:rPr>
          <w:rFonts w:cs="Abz-2 (Badr)" w:hint="cs"/>
          <w:rtl/>
        </w:rPr>
        <w:t>ـ محاضرات في أُصول الفقه،ج4،ص283.</w:t>
      </w:r>
    </w:p>
  </w:footnote>
  <w:footnote w:id="7">
    <w:p w14:paraId="388DBA25" w14:textId="77777777" w:rsidR="00FE4AC1" w:rsidRDefault="00FE4AC1" w:rsidP="00FE4AC1">
      <w:pPr>
        <w:pStyle w:val="FootnoteText"/>
        <w:bidi/>
        <w:jc w:val="left"/>
        <w:rPr>
          <w:rFonts w:cs="Abz-2 (Badr)"/>
          <w:rtl/>
          <w:lang w:bidi="fa-IR"/>
        </w:rPr>
      </w:pPr>
      <w:r>
        <w:rPr>
          <w:rStyle w:val="FootnoteReference"/>
          <w:rFonts w:cs="Abz-2 (Badr)"/>
        </w:rPr>
        <w:footnoteRef/>
      </w:r>
      <w:r>
        <w:rPr>
          <w:rFonts w:cs="Abz-2 (Badr)" w:hint="cs"/>
        </w:rPr>
        <w:t xml:space="preserve"> </w:t>
      </w:r>
      <w:r>
        <w:rPr>
          <w:rFonts w:cs="Abz-2 (Badr)" w:hint="cs"/>
          <w:rtl/>
        </w:rPr>
        <w:t>ـ کفاية الأُصول،ص208 و 209.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903E8A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5A7C34">
                            <w:rPr>
                              <w:rFonts w:cs="B Mehr" w:hint="cs"/>
                              <w:rtl/>
                              <w:lang w:bidi="fa-IR"/>
                            </w:rPr>
                            <w:t>27</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903E8A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5A7C34">
                      <w:rPr>
                        <w:rFonts w:cs="B Mehr" w:hint="cs"/>
                        <w:rtl/>
                        <w:lang w:bidi="fa-IR"/>
                      </w:rPr>
                      <w:t>27</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A7C34"/>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0B4D"/>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6621"/>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4AC1"/>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36649162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4090</TotalTime>
  <Pages>1</Pages>
  <Words>477</Words>
  <Characters>2721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1173</cp:revision>
  <cp:lastPrinted>2025-04-15T09:36:00Z</cp:lastPrinted>
  <dcterms:created xsi:type="dcterms:W3CDTF">2022-10-16T08:36:00Z</dcterms:created>
  <dcterms:modified xsi:type="dcterms:W3CDTF">2025-05-19T08:49:00Z</dcterms:modified>
</cp:coreProperties>
</file>