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4FB3E" w14:textId="77777777" w:rsidR="004F485A" w:rsidRDefault="004F485A" w:rsidP="004F485A">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4D4759A8" w14:textId="77777777" w:rsidR="004F485A" w:rsidRDefault="004F485A" w:rsidP="004F485A">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45475D98" w14:textId="77777777" w:rsidR="004F485A" w:rsidRDefault="004F485A" w:rsidP="004F485A">
      <w:pPr>
        <w:widowControl w:val="0"/>
        <w:bidi/>
        <w:spacing w:after="240"/>
        <w:jc w:val="center"/>
        <w:rPr>
          <w:rFonts w:cs="B Mitra" w:hint="cs"/>
          <w:b/>
          <w:bCs/>
          <w:sz w:val="32"/>
          <w:szCs w:val="32"/>
          <w:rtl/>
          <w:lang w:bidi="fa-IR"/>
        </w:rPr>
      </w:pPr>
      <w:r>
        <w:rPr>
          <w:rFonts w:cs="B Mitra" w:hint="cs"/>
          <w:b/>
          <w:bCs/>
          <w:sz w:val="32"/>
          <w:szCs w:val="32"/>
          <w:rtl/>
          <w:lang w:bidi="fa-IR"/>
        </w:rPr>
        <w:t>جلسه 928</w:t>
      </w:r>
    </w:p>
    <w:bookmarkEnd w:id="0"/>
    <w:p w14:paraId="5DDE68B5" w14:textId="77777777" w:rsidR="004F485A" w:rsidRDefault="004F485A" w:rsidP="004F485A">
      <w:pPr>
        <w:widowControl w:val="0"/>
        <w:bidi/>
        <w:spacing w:before="240"/>
        <w:ind w:firstLine="289"/>
        <w:jc w:val="both"/>
        <w:rPr>
          <w:rFonts w:ascii="Amiri" w:hAnsi="Amiri" w:cs="Amiri" w:hint="cs"/>
          <w:b/>
          <w:bCs/>
          <w:sz w:val="24"/>
          <w:szCs w:val="24"/>
          <w:rtl/>
          <w:lang w:bidi="fa-IR"/>
        </w:rPr>
      </w:pPr>
    </w:p>
    <w:p w14:paraId="3863D573" w14:textId="77777777" w:rsidR="004F485A" w:rsidRDefault="004F485A" w:rsidP="004F485A">
      <w:pPr>
        <w:widowControl w:val="0"/>
        <w:bidi/>
        <w:spacing w:before="240" w:line="240" w:lineRule="auto"/>
        <w:ind w:firstLine="289"/>
        <w:jc w:val="both"/>
        <w:rPr>
          <w:rFonts w:ascii="Amiri" w:hAnsi="Amiri" w:cs="Amiri"/>
          <w:b/>
          <w:bCs/>
          <w:sz w:val="24"/>
          <w:szCs w:val="24"/>
          <w:rtl/>
          <w:lang w:bidi="fa-IR"/>
        </w:rPr>
      </w:pPr>
      <w:r>
        <w:rPr>
          <w:rFonts w:ascii="Amiri" w:hAnsi="Amiri" w:cs="Amiri"/>
          <w:b/>
          <w:bCs/>
          <w:sz w:val="24"/>
          <w:szCs w:val="24"/>
          <w:rtl/>
          <w:lang w:bidi="fa-IR"/>
        </w:rPr>
        <w:t>مقام دوم: افاده مفهوم توسط غايت</w:t>
      </w:r>
    </w:p>
    <w:p w14:paraId="6900739E" w14:textId="77777777" w:rsidR="004F485A" w:rsidRDefault="004F485A" w:rsidP="004F485A">
      <w:pPr>
        <w:widowControl w:val="0"/>
        <w:bidi/>
        <w:spacing w:before="240" w:line="240" w:lineRule="auto"/>
        <w:ind w:firstLine="289"/>
        <w:jc w:val="both"/>
        <w:rPr>
          <w:rFonts w:cs="2  Mitra"/>
          <w:sz w:val="28"/>
          <w:szCs w:val="28"/>
          <w:rtl/>
          <w:lang w:bidi="fa-IR"/>
        </w:rPr>
      </w:pPr>
      <w:r>
        <w:rPr>
          <w:rFonts w:cs="2  Mitra" w:hint="cs"/>
          <w:sz w:val="28"/>
          <w:szCs w:val="28"/>
          <w:rtl/>
          <w:lang w:bidi="fa-IR"/>
        </w:rPr>
        <w:t>در خصوص اين که آيا غايت دلالت بر اين می</w:t>
      </w:r>
      <w:r>
        <w:rPr>
          <w:rFonts w:cs="2  Mitra" w:hint="cs"/>
          <w:sz w:val="28"/>
          <w:szCs w:val="28"/>
          <w:rtl/>
          <w:lang w:bidi="fa-IR"/>
        </w:rPr>
        <w:softHyphen/>
        <w:t>کند که حکم از ما بعد غايت ـ بنابر اين که غايت داخل در مغيّی باشد ـ يا از غایت و ما بعد آن ـ بنابر اين که غايت خارج از مغیّی باشد ـ منتفی می</w:t>
      </w:r>
      <w:r>
        <w:rPr>
          <w:rFonts w:cs="2  Mitra" w:hint="cs"/>
          <w:sz w:val="28"/>
          <w:szCs w:val="28"/>
          <w:rtl/>
          <w:lang w:bidi="fa-IR"/>
        </w:rPr>
        <w:softHyphen/>
        <w:t>شود يا خير، در بين اصحاب اختلاف وجود دارد.</w:t>
      </w:r>
    </w:p>
    <w:p w14:paraId="5160623E"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2  Mitra" w:hint="cs"/>
          <w:sz w:val="28"/>
          <w:szCs w:val="28"/>
          <w:rtl/>
          <w:lang w:bidi="fa-IR"/>
        </w:rPr>
        <w:t>مرحوم سيّد مرتضی در استدلال بر عدم افاده مفهوم توسط غايت می</w:t>
      </w:r>
      <w:r>
        <w:rPr>
          <w:rFonts w:cs="2  Mitra" w:hint="cs"/>
          <w:sz w:val="28"/>
          <w:szCs w:val="28"/>
          <w:rtl/>
          <w:lang w:bidi="fa-IR"/>
        </w:rPr>
        <w:softHyphen/>
        <w:t>فرمايد: «</w:t>
      </w:r>
      <w:r>
        <w:rPr>
          <w:rFonts w:cs="Abz-2 (Badr)" w:hint="cs"/>
          <w:sz w:val="28"/>
          <w:szCs w:val="28"/>
          <w:rtl/>
          <w:lang w:bidi="fa-IR"/>
        </w:rPr>
        <w:t>فأمّا تعليق الحكم بغاية فإنّما يدلّ على ثبوته إلى تلك الغاية، وما بعدها يعلم انتفاؤه أو إثباته بدليل.</w:t>
      </w:r>
    </w:p>
    <w:p w14:paraId="79A5C94C"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Abz-2 (Badr)" w:hint="cs"/>
          <w:sz w:val="28"/>
          <w:szCs w:val="28"/>
          <w:rtl/>
          <w:lang w:bidi="fa-IR"/>
        </w:rPr>
        <w:t xml:space="preserve">وإنّما علمنا في قوله تعالى: </w:t>
      </w:r>
      <w:r>
        <w:rPr>
          <w:rFonts w:cs="QuranTaha" w:hint="cs"/>
          <w:sz w:val="26"/>
          <w:szCs w:val="26"/>
          <w:rtl/>
          <w:lang w:bidi="fa-IR"/>
        </w:rPr>
        <w:t>«وَكُلُوا وَاشْرَبُوا حَتَّى يَتَبَيَّنَ لَكـُمُ الْخَيْطُ الْأَبْيَضُ مِنَ الْخَيْطِ الْأَسْوَدِ»</w:t>
      </w:r>
      <w:r>
        <w:rPr>
          <w:rStyle w:val="FootnoteReference"/>
          <w:rFonts w:cs="2  Mitra"/>
          <w:sz w:val="28"/>
          <w:szCs w:val="28"/>
          <w:rtl/>
          <w:lang w:bidi="fa-IR"/>
        </w:rPr>
        <w:footnoteReference w:id="2"/>
      </w:r>
      <w:r>
        <w:rPr>
          <w:rFonts w:cs="Abz-2 (Badr)" w:hint="cs"/>
          <w:sz w:val="28"/>
          <w:szCs w:val="28"/>
          <w:rtl/>
          <w:lang w:bidi="fa-IR"/>
        </w:rPr>
        <w:t xml:space="preserve"> وقوله تعالى: </w:t>
      </w:r>
      <w:r>
        <w:rPr>
          <w:rFonts w:cs="QuranTaha" w:hint="cs"/>
          <w:sz w:val="26"/>
          <w:szCs w:val="26"/>
          <w:rtl/>
          <w:lang w:bidi="fa-IR"/>
        </w:rPr>
        <w:t>«ثُمَّ أَتِمُّوا الصِّيامَ إِلَى اللَّيْلِ»</w:t>
      </w:r>
      <w:r>
        <w:rPr>
          <w:rStyle w:val="FootnoteReference"/>
          <w:rFonts w:cs="2  Mitra"/>
          <w:sz w:val="28"/>
          <w:szCs w:val="28"/>
          <w:rtl/>
          <w:lang w:bidi="fa-IR"/>
        </w:rPr>
        <w:footnoteReference w:id="3"/>
      </w:r>
      <w:r>
        <w:rPr>
          <w:rFonts w:cs="Abz-2 (Badr)" w:hint="cs"/>
          <w:sz w:val="28"/>
          <w:szCs w:val="28"/>
          <w:rtl/>
          <w:lang w:bidi="fa-IR"/>
        </w:rPr>
        <w:t xml:space="preserve"> وقوله سبحانه: </w:t>
      </w:r>
      <w:r>
        <w:rPr>
          <w:rFonts w:cs="QuranTaha" w:hint="cs"/>
          <w:sz w:val="26"/>
          <w:szCs w:val="26"/>
          <w:rtl/>
          <w:lang w:bidi="fa-IR"/>
        </w:rPr>
        <w:t>«حَتَّى يَطْهُرْنَ»</w:t>
      </w:r>
      <w:r>
        <w:rPr>
          <w:rStyle w:val="FootnoteReference"/>
          <w:rFonts w:cs="2  Mitra"/>
          <w:sz w:val="28"/>
          <w:szCs w:val="28"/>
          <w:rtl/>
          <w:lang w:bidi="fa-IR"/>
        </w:rPr>
        <w:footnoteReference w:id="4"/>
      </w:r>
      <w:r>
        <w:rPr>
          <w:rFonts w:cs="Abz-2 (Badr)" w:hint="cs"/>
          <w:sz w:val="28"/>
          <w:szCs w:val="28"/>
          <w:rtl/>
          <w:lang w:bidi="fa-IR"/>
        </w:rPr>
        <w:t xml:space="preserve"> أنّ ما بعد الغاية بخلافها بدليل، وما يعلم بدليل غير ما يدلّ اللفظ عليه، كما نعلم أنّ ما عدا السائمة بخلافها في الزكاة، وإنّما علمناه بدليل.</w:t>
      </w:r>
    </w:p>
    <w:p w14:paraId="68287493"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Abz-2 (Badr)" w:hint="cs"/>
          <w:sz w:val="28"/>
          <w:szCs w:val="28"/>
          <w:rtl/>
          <w:lang w:bidi="fa-IR"/>
        </w:rPr>
        <w:t>ومن فرّق بين تعليق الحكم بصفة وبين تعليقه بغاية ليس معه‏ إلا الدعوى، وهو كالمناقض، لفرقه‏ بين أمرين لا فرق بينهما.»</w:t>
      </w:r>
      <w:r>
        <w:rPr>
          <w:rStyle w:val="FootnoteReference"/>
          <w:rFonts w:cs="2  Mitra"/>
          <w:sz w:val="28"/>
          <w:szCs w:val="28"/>
          <w:rtl/>
          <w:lang w:bidi="fa-IR"/>
        </w:rPr>
        <w:footnoteReference w:id="5"/>
      </w:r>
    </w:p>
    <w:p w14:paraId="730D10ED" w14:textId="77777777" w:rsidR="004F485A" w:rsidRDefault="004F485A" w:rsidP="004F485A">
      <w:pPr>
        <w:widowControl w:val="0"/>
        <w:bidi/>
        <w:spacing w:before="240" w:line="240" w:lineRule="auto"/>
        <w:ind w:firstLine="289"/>
        <w:jc w:val="both"/>
        <w:rPr>
          <w:rFonts w:cs="2  Mitra" w:hint="cs"/>
          <w:sz w:val="28"/>
          <w:szCs w:val="28"/>
          <w:rtl/>
          <w:lang w:bidi="fa-IR"/>
        </w:rPr>
      </w:pPr>
      <w:r>
        <w:rPr>
          <w:rFonts w:cs="2  Mitra" w:hint="cs"/>
          <w:sz w:val="28"/>
          <w:szCs w:val="28"/>
          <w:rtl/>
          <w:lang w:bidi="fa-IR"/>
        </w:rPr>
        <w:lastRenderedPageBreak/>
        <w:t>مرحوم شيخ طوسی نيز در اين مدعا از ايشان تبعيّت کرده است.</w:t>
      </w:r>
      <w:r>
        <w:rPr>
          <w:rStyle w:val="FootnoteReference"/>
          <w:rFonts w:cs="2  Mitra"/>
          <w:sz w:val="28"/>
          <w:szCs w:val="28"/>
          <w:rtl/>
          <w:lang w:bidi="fa-IR"/>
        </w:rPr>
        <w:footnoteReference w:id="6"/>
      </w:r>
      <w:r>
        <w:rPr>
          <w:rFonts w:cs="2  Mitra" w:hint="cs"/>
          <w:sz w:val="28"/>
          <w:szCs w:val="28"/>
          <w:rtl/>
          <w:lang w:bidi="fa-IR"/>
        </w:rPr>
        <w:t xml:space="preserve"> </w:t>
      </w:r>
    </w:p>
    <w:p w14:paraId="574F5905" w14:textId="77777777" w:rsidR="004F485A" w:rsidRDefault="004F485A" w:rsidP="004F485A">
      <w:pPr>
        <w:widowControl w:val="0"/>
        <w:bidi/>
        <w:spacing w:before="240" w:line="240" w:lineRule="auto"/>
        <w:ind w:firstLine="289"/>
        <w:jc w:val="both"/>
        <w:rPr>
          <w:rFonts w:cs="Abz-2 (Badr)"/>
          <w:sz w:val="28"/>
          <w:szCs w:val="28"/>
          <w:lang w:bidi="fa-IR"/>
        </w:rPr>
      </w:pPr>
      <w:r>
        <w:rPr>
          <w:rFonts w:cs="2  Mitra" w:hint="cs"/>
          <w:sz w:val="28"/>
          <w:szCs w:val="28"/>
          <w:rtl/>
          <w:lang w:bidi="fa-IR"/>
        </w:rPr>
        <w:t>اما صاحب معالم می</w:t>
      </w:r>
      <w:r>
        <w:rPr>
          <w:rFonts w:cs="2  Mitra" w:hint="cs"/>
          <w:sz w:val="28"/>
          <w:szCs w:val="28"/>
          <w:rtl/>
          <w:lang w:bidi="fa-IR"/>
        </w:rPr>
        <w:softHyphen/>
        <w:t>فرمايد: «</w:t>
      </w:r>
      <w:r>
        <w:rPr>
          <w:rFonts w:cs="Abz-2 (Badr)" w:hint="cs"/>
          <w:sz w:val="28"/>
          <w:szCs w:val="28"/>
          <w:rtl/>
          <w:lang w:bidi="fa-IR"/>
        </w:rPr>
        <w:t>الأصحّ أنّ التقييد بالغاية يدلّ على مخالفة ما بعدها لما قبلها وفاقاً لأكثر المحقّقين.</w:t>
      </w:r>
      <w:r>
        <w:rPr>
          <w:rFonts w:cs="2  Mitra" w:hint="cs"/>
          <w:sz w:val="28"/>
          <w:szCs w:val="28"/>
          <w:rtl/>
          <w:lang w:bidi="fa-IR"/>
        </w:rPr>
        <w:t>»</w:t>
      </w:r>
      <w:r>
        <w:rPr>
          <w:rFonts w:cs="Abz-2 (Badr)" w:hint="cs"/>
          <w:sz w:val="28"/>
          <w:szCs w:val="28"/>
          <w:rtl/>
          <w:lang w:bidi="fa-IR"/>
        </w:rPr>
        <w:t>‏</w:t>
      </w:r>
      <w:r>
        <w:rPr>
          <w:rStyle w:val="FootnoteReference"/>
          <w:rFonts w:cs="2  Mitra"/>
          <w:sz w:val="28"/>
          <w:szCs w:val="28"/>
          <w:rtl/>
          <w:lang w:bidi="fa-IR"/>
        </w:rPr>
        <w:footnoteReference w:id="7"/>
      </w:r>
    </w:p>
    <w:p w14:paraId="1A16F7A6" w14:textId="77777777" w:rsidR="004F485A" w:rsidRDefault="004F485A" w:rsidP="004F485A">
      <w:pPr>
        <w:widowControl w:val="0"/>
        <w:bidi/>
        <w:spacing w:before="240" w:line="240" w:lineRule="auto"/>
        <w:ind w:firstLine="289"/>
        <w:jc w:val="both"/>
        <w:rPr>
          <w:rFonts w:cs="Abz-2 (Badr)"/>
          <w:sz w:val="28"/>
          <w:szCs w:val="28"/>
          <w:lang w:bidi="fa-IR"/>
        </w:rPr>
      </w:pPr>
      <w:r>
        <w:rPr>
          <w:rFonts w:cs="2  Mitra" w:hint="cs"/>
          <w:sz w:val="28"/>
          <w:szCs w:val="28"/>
          <w:rtl/>
          <w:lang w:bidi="fa-IR"/>
        </w:rPr>
        <w:t>شيخ انصاری نيز قول به افاده مفهوم توسط غايت را به مشهور بلکه معظم اصحاب نسبت داده است.</w:t>
      </w:r>
      <w:r>
        <w:rPr>
          <w:rFonts w:cs="Abz-2 (Badr)" w:hint="cs"/>
          <w:sz w:val="28"/>
          <w:szCs w:val="28"/>
          <w:rtl/>
          <w:lang w:bidi="fa-IR"/>
        </w:rPr>
        <w:t>‏</w:t>
      </w:r>
      <w:r>
        <w:rPr>
          <w:rStyle w:val="FootnoteReference"/>
          <w:rFonts w:cs="2  Mitra"/>
          <w:sz w:val="28"/>
          <w:szCs w:val="28"/>
          <w:rtl/>
          <w:lang w:bidi="fa-IR"/>
        </w:rPr>
        <w:footnoteReference w:id="8"/>
      </w:r>
    </w:p>
    <w:p w14:paraId="7E27652E"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2  Mitra" w:hint="cs"/>
          <w:sz w:val="28"/>
          <w:szCs w:val="28"/>
          <w:rtl/>
          <w:lang w:bidi="fa-IR"/>
        </w:rPr>
        <w:t>اما صاحب فصول با تفصيل در مسأله می</w:t>
      </w:r>
      <w:r>
        <w:rPr>
          <w:rFonts w:cs="2  Mitra" w:hint="cs"/>
          <w:sz w:val="28"/>
          <w:szCs w:val="28"/>
          <w:rtl/>
          <w:lang w:bidi="fa-IR"/>
        </w:rPr>
        <w:softHyphen/>
        <w:t>فرمايد: «</w:t>
      </w:r>
      <w:r>
        <w:rPr>
          <w:rFonts w:cs="Abz-2 (Badr)" w:hint="cs"/>
          <w:sz w:val="28"/>
          <w:szCs w:val="28"/>
          <w:rtl/>
          <w:lang w:bidi="fa-IR"/>
        </w:rPr>
        <w:t>اعلم أنّ النزاع يتصوّر هنا في مقامين:</w:t>
      </w:r>
    </w:p>
    <w:p w14:paraId="486199A9"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Abz-2 (Badr)" w:hint="cs"/>
          <w:sz w:val="28"/>
          <w:szCs w:val="28"/>
          <w:rtl/>
          <w:lang w:bidi="fa-IR"/>
        </w:rPr>
        <w:t>الأوّل: أنّ التقييد بالغاية هل يقتضي مخالفة ما بعدها لما قبلها مطلقاً بحيث يكون المفهوم من قولنا: «صم إلى الليل» أنّه لا أمر بالصيام بعدها مطلقاً ولو بأمر آخر أو لا يقتضي ذلك؟</w:t>
      </w:r>
    </w:p>
    <w:p w14:paraId="6350BD49"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Abz-2 (Badr)" w:hint="cs"/>
          <w:sz w:val="28"/>
          <w:szCs w:val="28"/>
          <w:rtl/>
          <w:lang w:bidi="fa-IR"/>
        </w:rPr>
        <w:t>الثاني: أنّ التقييد بها هل يقتضي المخالفة بالنسبة إلى الحكم المذكور بحيث يكون المفهوم في المثال المذكور، انقطاع الصوم المأمور به بذلك الأمر عند مجي‏ء الليل، أو لا يقتضي ذلك حتّى أنّه يجوز أن يكون الصوم المطلوب بذلك الخطاب مستمرّاً بعد الليل أيضاً من غير شهادة في اللفظ على خلافه؟</w:t>
      </w:r>
    </w:p>
    <w:p w14:paraId="2B7A9201" w14:textId="77777777" w:rsidR="004F485A" w:rsidRDefault="004F485A" w:rsidP="004F485A">
      <w:pPr>
        <w:widowControl w:val="0"/>
        <w:bidi/>
        <w:spacing w:before="240" w:line="240" w:lineRule="auto"/>
        <w:ind w:firstLine="289"/>
        <w:jc w:val="both"/>
        <w:rPr>
          <w:rFonts w:cs="2  Mitra" w:hint="cs"/>
          <w:sz w:val="28"/>
          <w:szCs w:val="28"/>
          <w:rtl/>
          <w:lang w:bidi="fa-IR"/>
        </w:rPr>
      </w:pPr>
      <w:r>
        <w:rPr>
          <w:rFonts w:cs="Abz-2 (Badr)" w:hint="cs"/>
          <w:sz w:val="28"/>
          <w:szCs w:val="28"/>
          <w:rtl/>
          <w:lang w:bidi="fa-IR"/>
        </w:rPr>
        <w:t>فنقول: إن كان النزاع في المقام الأوّل كما هو ظاهر كلماتهم‏ بل صريح بعضها، فالحقّ فيه مع من أنكر الدلالة، وإن كان في المقام الثاني، فالحقّ فيه مع من أثبتها.</w:t>
      </w:r>
      <w:r>
        <w:rPr>
          <w:rFonts w:cs="2  Mitra" w:hint="cs"/>
          <w:sz w:val="28"/>
          <w:szCs w:val="28"/>
          <w:rtl/>
          <w:lang w:bidi="fa-IR"/>
        </w:rPr>
        <w:t>»</w:t>
      </w:r>
      <w:r>
        <w:rPr>
          <w:rStyle w:val="FootnoteReference"/>
          <w:rFonts w:cs="2  Mitra"/>
          <w:sz w:val="28"/>
          <w:szCs w:val="28"/>
          <w:rtl/>
          <w:lang w:bidi="fa-IR"/>
        </w:rPr>
        <w:footnoteReference w:id="9"/>
      </w:r>
    </w:p>
    <w:p w14:paraId="18400D34" w14:textId="77777777" w:rsidR="004F485A" w:rsidRDefault="004F485A" w:rsidP="004F485A">
      <w:pPr>
        <w:widowControl w:val="0"/>
        <w:bidi/>
        <w:spacing w:before="240" w:line="240" w:lineRule="auto"/>
        <w:ind w:firstLine="289"/>
        <w:jc w:val="both"/>
        <w:rPr>
          <w:rFonts w:cs="2  Mitra" w:hint="cs"/>
          <w:sz w:val="28"/>
          <w:szCs w:val="28"/>
          <w:rtl/>
          <w:lang w:bidi="fa-IR"/>
        </w:rPr>
      </w:pPr>
      <w:r>
        <w:rPr>
          <w:rFonts w:cs="2  Mitra" w:hint="cs"/>
          <w:sz w:val="28"/>
          <w:szCs w:val="28"/>
          <w:rtl/>
          <w:lang w:bidi="fa-IR"/>
        </w:rPr>
        <w:t>و  در ادامه فرموده است: بايد مدعای مرحوم سيّد مرتضی در خصوص مماثلت بين وصف و غايت از حيث افاده يا عدم افاده مفهوم را بر معنای اول حمل نمود.</w:t>
      </w:r>
    </w:p>
    <w:p w14:paraId="6C473963" w14:textId="77777777" w:rsidR="004F485A" w:rsidRDefault="004F485A" w:rsidP="004F485A">
      <w:pPr>
        <w:widowControl w:val="0"/>
        <w:bidi/>
        <w:spacing w:before="240" w:line="240" w:lineRule="auto"/>
        <w:ind w:firstLine="289"/>
        <w:jc w:val="both"/>
        <w:rPr>
          <w:rFonts w:cs="2  Mitra" w:hint="cs"/>
          <w:sz w:val="28"/>
          <w:szCs w:val="28"/>
          <w:rtl/>
          <w:lang w:bidi="fa-IR"/>
        </w:rPr>
      </w:pPr>
      <w:r>
        <w:rPr>
          <w:rFonts w:cs="2  Mitra" w:hint="cs"/>
          <w:sz w:val="28"/>
          <w:szCs w:val="28"/>
          <w:rtl/>
          <w:lang w:bidi="fa-IR"/>
        </w:rPr>
        <w:t>ولی اين مدعا قابل التزام نيست، زيرا همان گونه که مرحوم شيخ فرموده است</w:t>
      </w:r>
      <w:r>
        <w:rPr>
          <w:rStyle w:val="FootnoteReference"/>
          <w:rFonts w:cs="2  Mitra"/>
          <w:sz w:val="28"/>
          <w:szCs w:val="28"/>
          <w:rtl/>
          <w:lang w:bidi="fa-IR"/>
        </w:rPr>
        <w:footnoteReference w:id="10"/>
      </w:r>
      <w:r>
        <w:rPr>
          <w:rFonts w:cs="2  Mitra" w:hint="cs"/>
          <w:sz w:val="28"/>
          <w:szCs w:val="28"/>
          <w:rtl/>
          <w:lang w:bidi="fa-IR"/>
        </w:rPr>
        <w:t xml:space="preserve">، عدم دلالت قضیه بر استمرار حکم بعد از غايت، امری مسلم است که ناشی از انتفاء موضوع آن به واسطه انتفاء قيد مأخوذ در موضوع است و کسی در اين مطلب </w:t>
      </w:r>
      <w:r>
        <w:rPr>
          <w:rFonts w:cs="2  Mitra" w:hint="cs"/>
          <w:sz w:val="28"/>
          <w:szCs w:val="28"/>
          <w:rtl/>
          <w:lang w:bidi="fa-IR"/>
        </w:rPr>
        <w:lastRenderedPageBreak/>
        <w:t>نمی</w:t>
      </w:r>
      <w:r>
        <w:rPr>
          <w:rFonts w:cs="2  Mitra" w:hint="cs"/>
          <w:sz w:val="28"/>
          <w:szCs w:val="28"/>
          <w:cs/>
          <w:lang w:bidi="fa-IR"/>
        </w:rPr>
        <w:t>‎</w:t>
      </w:r>
      <w:r>
        <w:rPr>
          <w:rFonts w:cs="2  Mitra" w:hint="cs"/>
          <w:sz w:val="28"/>
          <w:szCs w:val="28"/>
          <w:rtl/>
          <w:lang w:bidi="fa-IR"/>
        </w:rPr>
        <w:t>تواند شک داشته باشد.</w:t>
      </w:r>
    </w:p>
    <w:p w14:paraId="03717F55" w14:textId="77777777" w:rsidR="004F485A" w:rsidRDefault="004F485A" w:rsidP="004F485A">
      <w:pPr>
        <w:widowControl w:val="0"/>
        <w:bidi/>
        <w:spacing w:before="240" w:line="240" w:lineRule="auto"/>
        <w:ind w:firstLine="289"/>
        <w:jc w:val="both"/>
        <w:rPr>
          <w:rFonts w:cs="Abz-2 (Badr)" w:hint="cs"/>
          <w:sz w:val="28"/>
          <w:szCs w:val="28"/>
          <w:rtl/>
          <w:lang w:bidi="fa-IR"/>
        </w:rPr>
      </w:pPr>
      <w:r>
        <w:rPr>
          <w:rFonts w:cs="2  Mitra" w:hint="cs"/>
          <w:sz w:val="28"/>
          <w:szCs w:val="28"/>
          <w:rtl/>
          <w:lang w:bidi="fa-IR"/>
        </w:rPr>
        <w:t>مرحوم صاحب هدايه نيز فرموده است: «</w:t>
      </w:r>
      <w:r>
        <w:rPr>
          <w:rFonts w:cs="Abz-2 (Badr)" w:hint="cs"/>
          <w:sz w:val="28"/>
          <w:szCs w:val="28"/>
          <w:rtl/>
          <w:lang w:bidi="fa-IR"/>
        </w:rPr>
        <w:t>هناك فرق بيّن بين القول بانقطاع الحكم الأوّل وانتفائه فيما بعد الغاية، والقول بمخالفة ما بعدها لما قبلها في الحكم الأوّل. والأوّل مسلّم بين الكلّ، فيكون النزاع في الثاني.</w:t>
      </w:r>
      <w:r>
        <w:rPr>
          <w:rFonts w:cs="2  Mitra" w:hint="cs"/>
          <w:sz w:val="28"/>
          <w:szCs w:val="28"/>
          <w:rtl/>
          <w:lang w:bidi="fa-IR"/>
        </w:rPr>
        <w:t>»</w:t>
      </w:r>
      <w:r>
        <w:rPr>
          <w:rFonts w:cs="Abz-2 (Badr)" w:hint="cs"/>
          <w:sz w:val="28"/>
          <w:szCs w:val="28"/>
          <w:rtl/>
          <w:lang w:bidi="fa-IR"/>
        </w:rPr>
        <w:t>‏</w:t>
      </w:r>
      <w:r>
        <w:rPr>
          <w:rStyle w:val="FootnoteReference"/>
          <w:rFonts w:cs="2  Mitra"/>
          <w:sz w:val="28"/>
          <w:szCs w:val="28"/>
          <w:rtl/>
          <w:lang w:bidi="fa-IR"/>
        </w:rPr>
        <w:footnoteReference w:id="11"/>
      </w:r>
    </w:p>
    <w:p w14:paraId="342E96CD" w14:textId="77777777" w:rsidR="004F485A" w:rsidRDefault="004F485A" w:rsidP="004F485A">
      <w:pPr>
        <w:widowControl w:val="0"/>
        <w:bidi/>
        <w:spacing w:before="240" w:line="240" w:lineRule="auto"/>
        <w:ind w:firstLine="289"/>
        <w:jc w:val="both"/>
        <w:rPr>
          <w:rFonts w:cs="2  Mitra"/>
          <w:sz w:val="28"/>
          <w:szCs w:val="28"/>
          <w:lang w:bidi="fa-IR"/>
        </w:rPr>
      </w:pPr>
      <w:r>
        <w:rPr>
          <w:rFonts w:cs="2  Mitra" w:hint="cs"/>
          <w:sz w:val="28"/>
          <w:szCs w:val="28"/>
          <w:rtl/>
          <w:lang w:bidi="fa-IR"/>
        </w:rPr>
        <w:t>اما مرحوم آخوند تفصيل ديگری در مسأله داده و می</w:t>
      </w:r>
      <w:r>
        <w:rPr>
          <w:rFonts w:cs="2  Mitra" w:hint="cs"/>
          <w:sz w:val="28"/>
          <w:szCs w:val="28"/>
          <w:rtl/>
          <w:lang w:bidi="fa-IR"/>
        </w:rPr>
        <w:softHyphen/>
        <w:t>فرمايد: چنانچه غايت مذکور در قضیه به حسب قواعد لغت عربی، غايت برای حکم باشد، در اين صورت افاده مفهوم خواهد کرد، اما اگر غايت برای موضوع باشد، در حکم وصف بوده و مفهومی نخواهد داشت.</w:t>
      </w:r>
      <w:r>
        <w:rPr>
          <w:rStyle w:val="FootnoteReference"/>
          <w:rFonts w:cs="2  Mitra"/>
          <w:sz w:val="28"/>
          <w:szCs w:val="28"/>
          <w:rtl/>
          <w:lang w:bidi="fa-IR"/>
        </w:rPr>
        <w:footnoteReference w:id="12"/>
      </w:r>
    </w:p>
    <w:p w14:paraId="7A5C15C7" w14:textId="77777777" w:rsidR="004F485A" w:rsidRDefault="004F485A" w:rsidP="004F485A">
      <w:pPr>
        <w:widowControl w:val="0"/>
        <w:bidi/>
        <w:spacing w:before="240" w:line="240" w:lineRule="auto"/>
        <w:ind w:firstLine="289"/>
        <w:jc w:val="both"/>
        <w:rPr>
          <w:rFonts w:cs="2  Mitra" w:hint="cs"/>
          <w:sz w:val="28"/>
          <w:szCs w:val="28"/>
          <w:rtl/>
          <w:lang w:bidi="fa-IR"/>
        </w:rPr>
      </w:pPr>
      <w:r>
        <w:rPr>
          <w:rFonts w:cs="2  Mitra" w:hint="cs"/>
          <w:spacing w:val="-2"/>
          <w:sz w:val="28"/>
          <w:szCs w:val="28"/>
          <w:rtl/>
          <w:lang w:bidi="fa-IR"/>
        </w:rPr>
        <w:t>مرحوم آيت الله خویی بيانی برای تعلق غايت به موضوع، متعلّق و حکم دارند که جلسه بعد آن را مطرح خواهيم کرد ان شاء الله.</w:t>
      </w:r>
    </w:p>
    <w:p w14:paraId="39BC754B" w14:textId="77777777" w:rsidR="004F485A" w:rsidRDefault="004F485A" w:rsidP="004F485A">
      <w:pPr>
        <w:widowControl w:val="0"/>
        <w:bidi/>
        <w:spacing w:before="240"/>
        <w:ind w:firstLine="289"/>
        <w:jc w:val="both"/>
        <w:rPr>
          <w:rFonts w:cs="2  Mitra" w:hint="cs"/>
          <w:sz w:val="28"/>
          <w:szCs w:val="28"/>
          <w:rtl/>
          <w:lang w:bidi="fa-IR"/>
        </w:rPr>
      </w:pPr>
    </w:p>
    <w:p w14:paraId="7D9979DE" w14:textId="26D41A3F" w:rsidR="001B24FC" w:rsidRPr="004F485A" w:rsidRDefault="001B24FC" w:rsidP="004F485A">
      <w:pPr>
        <w:rPr>
          <w:rtl/>
        </w:rPr>
      </w:pPr>
    </w:p>
    <w:sectPr w:rsidR="001B24FC" w:rsidRPr="004F485A"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D65A4" w14:textId="77777777" w:rsidR="005A5BF3" w:rsidRDefault="005A5BF3" w:rsidP="00C336C5">
      <w:pPr>
        <w:spacing w:after="0" w:line="240" w:lineRule="auto"/>
      </w:pPr>
      <w:r>
        <w:separator/>
      </w:r>
    </w:p>
  </w:endnote>
  <w:endnote w:type="continuationSeparator" w:id="0">
    <w:p w14:paraId="177B6A81" w14:textId="77777777" w:rsidR="005A5BF3" w:rsidRDefault="005A5BF3" w:rsidP="00C336C5">
      <w:pPr>
        <w:spacing w:after="0" w:line="240" w:lineRule="auto"/>
      </w:pPr>
      <w:r>
        <w:continuationSeparator/>
      </w:r>
    </w:p>
  </w:endnote>
  <w:endnote w:type="continuationNotice" w:id="1">
    <w:p w14:paraId="5B934C13" w14:textId="77777777" w:rsidR="005A5BF3" w:rsidRDefault="005A5BF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7D908" w14:textId="77777777" w:rsidR="005A5BF3" w:rsidRDefault="005A5BF3" w:rsidP="00C336C5">
      <w:pPr>
        <w:bidi/>
        <w:spacing w:after="0" w:line="240" w:lineRule="auto"/>
      </w:pPr>
      <w:r>
        <w:separator/>
      </w:r>
    </w:p>
  </w:footnote>
  <w:footnote w:type="continuationSeparator" w:id="0">
    <w:p w14:paraId="212B375F" w14:textId="77777777" w:rsidR="005A5BF3" w:rsidRDefault="005A5BF3" w:rsidP="00C336C5">
      <w:pPr>
        <w:spacing w:after="0" w:line="240" w:lineRule="auto"/>
      </w:pPr>
      <w:r>
        <w:continuationSeparator/>
      </w:r>
    </w:p>
  </w:footnote>
  <w:footnote w:type="continuationNotice" w:id="1">
    <w:p w14:paraId="73264DBB" w14:textId="77777777" w:rsidR="005A5BF3" w:rsidRDefault="005A5BF3">
      <w:pPr>
        <w:spacing w:after="0" w:line="240" w:lineRule="auto"/>
      </w:pPr>
    </w:p>
  </w:footnote>
  <w:footnote w:id="2">
    <w:p w14:paraId="0DEC9DC8"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البقرة(2):187.</w:t>
      </w:r>
    </w:p>
  </w:footnote>
  <w:footnote w:id="3">
    <w:p w14:paraId="496DCBD6"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البقرة(2):187.</w:t>
      </w:r>
    </w:p>
  </w:footnote>
  <w:footnote w:id="4">
    <w:p w14:paraId="1431A3D7"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البقرة(2):222.</w:t>
      </w:r>
    </w:p>
  </w:footnote>
  <w:footnote w:id="5">
    <w:p w14:paraId="4F673371"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الذريعة إلی أُصول الشيعة،ج1،ص407 و 408.</w:t>
      </w:r>
    </w:p>
  </w:footnote>
  <w:footnote w:id="6">
    <w:p w14:paraId="452D42B4"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العدّة في أُصول الفقه،ج2،ص478.</w:t>
      </w:r>
    </w:p>
  </w:footnote>
  <w:footnote w:id="7">
    <w:p w14:paraId="7464C642"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معالم الدين،ص81.</w:t>
      </w:r>
    </w:p>
  </w:footnote>
  <w:footnote w:id="8">
    <w:p w14:paraId="5916CE22"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مطارح الأنظار،ج2،ص99.</w:t>
      </w:r>
    </w:p>
  </w:footnote>
  <w:footnote w:id="9">
    <w:p w14:paraId="5AEEC771"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الفصول الغرويّة،ص153 و 154.</w:t>
      </w:r>
    </w:p>
  </w:footnote>
  <w:footnote w:id="10">
    <w:p w14:paraId="156612C5"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مطارح الأنظار،ج2،ص100.</w:t>
      </w:r>
    </w:p>
  </w:footnote>
  <w:footnote w:id="11">
    <w:p w14:paraId="07EAC572"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هداية المسترشدين،ج2،ص527.</w:t>
      </w:r>
    </w:p>
  </w:footnote>
  <w:footnote w:id="12">
    <w:p w14:paraId="54A54A87" w14:textId="77777777" w:rsidR="004F485A" w:rsidRDefault="004F485A" w:rsidP="004F485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کفاية الأُصول،ص208 و 209.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946D0DE"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4F485A">
                            <w:rPr>
                              <w:rFonts w:cs="B Mehr" w:hint="cs"/>
                              <w:rtl/>
                              <w:lang w:bidi="fa-IR"/>
                            </w:rPr>
                            <w:t>چهار</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F485A">
                            <w:rPr>
                              <w:rFonts w:cs="B Mehr" w:hint="cs"/>
                              <w:rtl/>
                              <w:lang w:bidi="fa-IR"/>
                            </w:rPr>
                            <w:t>24</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946D0DE"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4F485A">
                      <w:rPr>
                        <w:rFonts w:cs="B Mehr" w:hint="cs"/>
                        <w:rtl/>
                        <w:lang w:bidi="fa-IR"/>
                      </w:rPr>
                      <w:t>چهار</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4F485A">
                      <w:rPr>
                        <w:rFonts w:cs="B Mehr" w:hint="cs"/>
                        <w:rtl/>
                        <w:lang w:bidi="fa-IR"/>
                      </w:rPr>
                      <w:t>24</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4090</TotalTime>
  <Pages>1</Pages>
  <Words>426</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1169</cp:revision>
  <cp:lastPrinted>2025-04-15T09:36:00Z</cp:lastPrinted>
  <dcterms:created xsi:type="dcterms:W3CDTF">2022-10-16T08:36:00Z</dcterms:created>
  <dcterms:modified xsi:type="dcterms:W3CDTF">2025-05-14T08:07:00Z</dcterms:modified>
</cp:coreProperties>
</file>