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D5136E" w14:textId="77777777" w:rsidR="00A33B4A" w:rsidRPr="00C27AEE" w:rsidRDefault="00A33B4A" w:rsidP="00A33B4A">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315739BB" w14:textId="77777777" w:rsidR="00A33B4A" w:rsidRDefault="00A33B4A" w:rsidP="00A33B4A">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7A4E7B72" w14:textId="77777777" w:rsidR="00A33B4A" w:rsidRDefault="00A33B4A" w:rsidP="00A33B4A">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926</w:t>
      </w:r>
    </w:p>
    <w:bookmarkEnd w:id="0"/>
    <w:p w14:paraId="2FE2AD51" w14:textId="77777777" w:rsidR="00A33B4A" w:rsidRDefault="00A33B4A" w:rsidP="00A33B4A">
      <w:pPr>
        <w:widowControl w:val="0"/>
        <w:bidi/>
        <w:spacing w:before="240" w:line="247" w:lineRule="auto"/>
        <w:ind w:firstLine="289"/>
        <w:jc w:val="both"/>
        <w:rPr>
          <w:rFonts w:ascii="Amiri" w:hAnsi="Amiri" w:cs="Amiri"/>
          <w:b/>
          <w:bCs/>
          <w:sz w:val="24"/>
          <w:szCs w:val="24"/>
          <w:rtl/>
          <w:lang w:bidi="fa-IR"/>
        </w:rPr>
      </w:pPr>
    </w:p>
    <w:p w14:paraId="261FBB4B" w14:textId="77777777" w:rsidR="00A33B4A" w:rsidRDefault="00A33B4A" w:rsidP="00A33B4A">
      <w:pPr>
        <w:widowControl w:val="0"/>
        <w:bidi/>
        <w:spacing w:before="240" w:line="259" w:lineRule="auto"/>
        <w:ind w:firstLine="289"/>
        <w:jc w:val="both"/>
        <w:rPr>
          <w:rFonts w:cs="2  Mitra"/>
          <w:spacing w:val="-2"/>
          <w:sz w:val="28"/>
          <w:szCs w:val="28"/>
          <w:rtl/>
          <w:lang w:bidi="fa-IR"/>
        </w:rPr>
      </w:pPr>
      <w:r>
        <w:rPr>
          <w:rFonts w:cs="2  Mitra" w:hint="cs"/>
          <w:spacing w:val="-2"/>
          <w:sz w:val="28"/>
          <w:szCs w:val="28"/>
          <w:rtl/>
          <w:lang w:bidi="fa-IR"/>
        </w:rPr>
        <w:t>برخی از موارد نقد به مدعای مرحوم شيخ در جلسه قبل گذشت.</w:t>
      </w:r>
    </w:p>
    <w:p w14:paraId="2A60EEEF" w14:textId="77777777" w:rsidR="00A33B4A" w:rsidRDefault="00A33B4A" w:rsidP="00A33B4A">
      <w:pPr>
        <w:widowControl w:val="0"/>
        <w:bidi/>
        <w:spacing w:before="240" w:line="259" w:lineRule="auto"/>
        <w:ind w:firstLine="289"/>
        <w:jc w:val="both"/>
        <w:rPr>
          <w:rFonts w:cs="2  Mitra"/>
          <w:spacing w:val="-2"/>
          <w:sz w:val="28"/>
          <w:szCs w:val="28"/>
          <w:rtl/>
          <w:lang w:bidi="fa-IR"/>
        </w:rPr>
      </w:pPr>
      <w:r>
        <w:rPr>
          <w:rFonts w:cs="2  Mitra" w:hint="cs"/>
          <w:spacing w:val="-2"/>
          <w:sz w:val="28"/>
          <w:szCs w:val="28"/>
          <w:rtl/>
          <w:lang w:bidi="fa-IR"/>
        </w:rPr>
        <w:t>اما آنچه که ايشان در خصوص مقتضای اصل بیان کرده</w:t>
      </w:r>
      <w:r>
        <w:rPr>
          <w:rFonts w:cs="2  Mitra"/>
          <w:spacing w:val="-2"/>
          <w:sz w:val="28"/>
          <w:szCs w:val="28"/>
          <w:rtl/>
          <w:lang w:bidi="fa-IR"/>
        </w:rPr>
        <w:softHyphen/>
      </w:r>
      <w:r>
        <w:rPr>
          <w:rFonts w:cs="2  Mitra" w:hint="cs"/>
          <w:spacing w:val="-2"/>
          <w:sz w:val="28"/>
          <w:szCs w:val="28"/>
          <w:rtl/>
          <w:lang w:bidi="fa-IR"/>
        </w:rPr>
        <w:t>اند اشکال آن اين است که اولاً: اصل موضوعی به عنوان «اصل عدم دخول» در تبيين مراد استعمالی وجود ندارد.</w:t>
      </w:r>
    </w:p>
    <w:p w14:paraId="63BB13A0" w14:textId="77777777" w:rsidR="00A33B4A" w:rsidRDefault="00A33B4A" w:rsidP="00A33B4A">
      <w:pPr>
        <w:widowControl w:val="0"/>
        <w:bidi/>
        <w:spacing w:before="240" w:line="259" w:lineRule="auto"/>
        <w:ind w:firstLine="289"/>
        <w:jc w:val="both"/>
        <w:rPr>
          <w:rFonts w:cs="2  Mitra"/>
          <w:spacing w:val="-2"/>
          <w:sz w:val="28"/>
          <w:szCs w:val="28"/>
          <w:rtl/>
          <w:lang w:bidi="fa-IR"/>
        </w:rPr>
      </w:pPr>
      <w:r>
        <w:rPr>
          <w:rFonts w:cs="2  Mitra" w:hint="cs"/>
          <w:spacing w:val="-2"/>
          <w:sz w:val="28"/>
          <w:szCs w:val="28"/>
          <w:rtl/>
          <w:lang w:bidi="fa-IR"/>
        </w:rPr>
        <w:t>ثانياً: آنچه که وجداناً معلوم است، تباين مفهومی غايت و مغیّی است، و اگر وجداناً معلوم باشد که غايت موضوعاً داخل در مغيّی نيست، ديگر نزاعی وجود نخواهد داشت، چون اگر غايت مربوط به حکم باشد که نتیجه اين مدعا معلوم است، و اگر مربوط به موضوع یا متعلق باشد نيز به تبع خروج غایت از مغيّی در موضوع حکم یا متعلق آن، خروج حکمی نيز اتفاق خواهد افتاد.</w:t>
      </w:r>
    </w:p>
    <w:p w14:paraId="1AECC1EF" w14:textId="77777777" w:rsidR="00A33B4A" w:rsidRPr="00C10F36" w:rsidRDefault="00A33B4A" w:rsidP="00A33B4A">
      <w:pPr>
        <w:widowControl w:val="0"/>
        <w:bidi/>
        <w:spacing w:before="240" w:line="259" w:lineRule="auto"/>
        <w:ind w:firstLine="289"/>
        <w:jc w:val="both"/>
        <w:rPr>
          <w:rFonts w:cs="2  Mitra"/>
          <w:sz w:val="28"/>
          <w:szCs w:val="28"/>
          <w:rtl/>
          <w:lang w:bidi="fa-IR"/>
        </w:rPr>
      </w:pPr>
      <w:r>
        <w:rPr>
          <w:rFonts w:cs="2  Mitra" w:hint="cs"/>
          <w:spacing w:val="-2"/>
          <w:sz w:val="28"/>
          <w:szCs w:val="28"/>
          <w:rtl/>
          <w:lang w:bidi="fa-IR"/>
        </w:rPr>
        <w:t>ثالثاً: «</w:t>
      </w:r>
      <w:r w:rsidRPr="00EE3746">
        <w:rPr>
          <w:rFonts w:cs="Abz-2 (Badr)" w:hint="cs"/>
          <w:spacing w:val="-2"/>
          <w:sz w:val="28"/>
          <w:szCs w:val="28"/>
          <w:rtl/>
          <w:lang w:bidi="fa-IR"/>
        </w:rPr>
        <w:t>اصالة الحقيقة</w:t>
      </w:r>
      <w:r>
        <w:rPr>
          <w:rFonts w:cs="2  Mitra" w:hint="cs"/>
          <w:spacing w:val="-2"/>
          <w:sz w:val="28"/>
          <w:szCs w:val="28"/>
          <w:rtl/>
          <w:lang w:bidi="fa-IR"/>
        </w:rPr>
        <w:t>» اصلی لفظی است که سبب احراز «مستعمل فيه» لفظ می</w:t>
      </w:r>
      <w:r>
        <w:rPr>
          <w:rFonts w:cs="2  Mitra"/>
          <w:spacing w:val="-2"/>
          <w:sz w:val="28"/>
          <w:szCs w:val="28"/>
          <w:rtl/>
          <w:lang w:bidi="fa-IR"/>
        </w:rPr>
        <w:softHyphen/>
      </w:r>
      <w:r>
        <w:rPr>
          <w:rFonts w:cs="2  Mitra" w:hint="cs"/>
          <w:spacing w:val="-2"/>
          <w:sz w:val="28"/>
          <w:szCs w:val="28"/>
          <w:rtl/>
          <w:lang w:bidi="fa-IR"/>
        </w:rPr>
        <w:t>شود، نه این که مستقيماً حکم شرعی را برای ما کشف کند، ولو این که غايت مربوط به حکم شرعی باشد نه موضوع یا متعلق آن. بنابر این تمسّک به آن با ادعای سابق ایشان مبنی بر این که وجداناً معلوم است که غايت خارج از مغيّی است، سازگاری ندارد، زیرا با احراز وجدانی خروج غايت از مغيّی، ديگر مجالی برای تمسّک به اصل لفظی باقی نخواهد ماند.</w:t>
      </w:r>
    </w:p>
    <w:p w14:paraId="07D8BB61" w14:textId="77777777" w:rsidR="00A33B4A" w:rsidRPr="000A0E33" w:rsidRDefault="00A33B4A" w:rsidP="00A33B4A">
      <w:pPr>
        <w:widowControl w:val="0"/>
        <w:bidi/>
        <w:spacing w:before="240" w:line="259" w:lineRule="auto"/>
        <w:ind w:firstLine="289"/>
        <w:jc w:val="both"/>
        <w:rPr>
          <w:rFonts w:cs="2  Mitra"/>
          <w:spacing w:val="-6"/>
          <w:sz w:val="28"/>
          <w:szCs w:val="28"/>
          <w:rtl/>
          <w:lang w:bidi="fa-IR"/>
        </w:rPr>
      </w:pPr>
      <w:r w:rsidRPr="000A0E33">
        <w:rPr>
          <w:rFonts w:cs="2  Mitra" w:hint="cs"/>
          <w:spacing w:val="-6"/>
          <w:sz w:val="28"/>
          <w:szCs w:val="28"/>
          <w:rtl/>
          <w:lang w:bidi="fa-IR"/>
        </w:rPr>
        <w:t>اما در خصوص حجّت قول سوم مرحوم صاحب هدایه می</w:t>
      </w:r>
      <w:r w:rsidRPr="000A0E33">
        <w:rPr>
          <w:rFonts w:cs="2  Mitra"/>
          <w:spacing w:val="-6"/>
          <w:sz w:val="28"/>
          <w:szCs w:val="28"/>
          <w:rtl/>
          <w:lang w:bidi="fa-IR"/>
        </w:rPr>
        <w:softHyphen/>
      </w:r>
      <w:r w:rsidRPr="000A0E33">
        <w:rPr>
          <w:rFonts w:cs="2  Mitra" w:hint="cs"/>
          <w:spacing w:val="-6"/>
          <w:sz w:val="28"/>
          <w:szCs w:val="28"/>
          <w:rtl/>
          <w:lang w:bidi="fa-IR"/>
        </w:rPr>
        <w:t>فرماید: برای تف</w:t>
      </w:r>
      <w:r>
        <w:rPr>
          <w:rFonts w:cs="2  Mitra" w:hint="cs"/>
          <w:spacing w:val="-6"/>
          <w:sz w:val="28"/>
          <w:szCs w:val="28"/>
          <w:rtl/>
          <w:lang w:bidi="fa-IR"/>
        </w:rPr>
        <w:t>ص</w:t>
      </w:r>
      <w:r w:rsidRPr="000A0E33">
        <w:rPr>
          <w:rFonts w:cs="2  Mitra" w:hint="cs"/>
          <w:spacing w:val="-6"/>
          <w:sz w:val="28"/>
          <w:szCs w:val="28"/>
          <w:rtl/>
          <w:lang w:bidi="fa-IR"/>
        </w:rPr>
        <w:t>يل مذکور استدلال به اين شده است که اوّلاً: در صورت اتّحاد جنس غایت و مغیّی، قول به خروج غايت از مغیّی تحکّم است؛ ثانياً: امتثال و اتيان کامل مأمور به در اين صورت، متوقف بر دخول غايت در مغيّی است؛ ثالثاً: عرف قائل به تفاوت بين فرض وجود اختلاف بين غايت و مغيّی و عدم اختلاف آنهاست.</w:t>
      </w:r>
    </w:p>
    <w:p w14:paraId="20992BA4" w14:textId="77777777" w:rsidR="00A33B4A" w:rsidRDefault="00A33B4A" w:rsidP="00A33B4A">
      <w:pPr>
        <w:widowControl w:val="0"/>
        <w:bidi/>
        <w:spacing w:before="240" w:line="259" w:lineRule="auto"/>
        <w:ind w:firstLine="289"/>
        <w:jc w:val="both"/>
        <w:rPr>
          <w:rFonts w:cs="2  Mitra"/>
          <w:spacing w:val="-2"/>
          <w:sz w:val="28"/>
          <w:szCs w:val="28"/>
          <w:rtl/>
          <w:lang w:bidi="fa-IR"/>
        </w:rPr>
      </w:pPr>
      <w:r>
        <w:rPr>
          <w:rFonts w:cs="2  Mitra" w:hint="cs"/>
          <w:spacing w:val="-2"/>
          <w:sz w:val="28"/>
          <w:szCs w:val="28"/>
          <w:rtl/>
          <w:lang w:bidi="fa-IR"/>
        </w:rPr>
        <w:t>سپس در اشکال بر اين سه استدلال می</w:t>
      </w:r>
      <w:r>
        <w:rPr>
          <w:rFonts w:cs="2  Mitra"/>
          <w:spacing w:val="-2"/>
          <w:sz w:val="28"/>
          <w:szCs w:val="28"/>
          <w:rtl/>
          <w:lang w:bidi="fa-IR"/>
        </w:rPr>
        <w:softHyphen/>
      </w:r>
      <w:r>
        <w:rPr>
          <w:rFonts w:cs="2  Mitra" w:hint="cs"/>
          <w:spacing w:val="-2"/>
          <w:sz w:val="28"/>
          <w:szCs w:val="28"/>
          <w:rtl/>
          <w:lang w:bidi="fa-IR"/>
        </w:rPr>
        <w:t>فرمايد: استدلال اول و سوم صرف مدعاست که مورد قبول ما نيست.</w:t>
      </w:r>
    </w:p>
    <w:p w14:paraId="2F2BFD48" w14:textId="77777777" w:rsidR="00A33B4A" w:rsidRDefault="00A33B4A" w:rsidP="00A33B4A">
      <w:pPr>
        <w:widowControl w:val="0"/>
        <w:bidi/>
        <w:spacing w:before="240" w:line="259" w:lineRule="auto"/>
        <w:ind w:firstLine="289"/>
        <w:jc w:val="both"/>
        <w:rPr>
          <w:rFonts w:cs="Abz-2 (Badr)"/>
          <w:sz w:val="28"/>
          <w:szCs w:val="28"/>
          <w:rtl/>
          <w:lang w:bidi="fa-IR"/>
        </w:rPr>
      </w:pPr>
      <w:r>
        <w:rPr>
          <w:rFonts w:cs="2  Mitra" w:hint="cs"/>
          <w:spacing w:val="-2"/>
          <w:sz w:val="28"/>
          <w:szCs w:val="28"/>
          <w:rtl/>
          <w:lang w:bidi="fa-IR"/>
        </w:rPr>
        <w:t xml:space="preserve">و اما استدلال دوم علاوه بر اين که خلاف مدعی </w:t>
      </w:r>
      <w:r w:rsidRPr="0015316A">
        <w:rPr>
          <w:rFonts w:cs="2  Mitra" w:hint="cs"/>
          <w:spacing w:val="-2"/>
          <w:sz w:val="28"/>
          <w:szCs w:val="28"/>
          <w:rtl/>
          <w:lang w:bidi="fa-IR"/>
        </w:rPr>
        <w:t>است</w:t>
      </w:r>
      <w:r>
        <w:rPr>
          <w:rFonts w:cs="2  Mitra" w:hint="cs"/>
          <w:spacing w:val="-2"/>
          <w:sz w:val="28"/>
          <w:szCs w:val="28"/>
          <w:rtl/>
          <w:lang w:bidi="fa-IR"/>
        </w:rPr>
        <w:t xml:space="preserve"> ـ زيرا </w:t>
      </w:r>
      <w:r w:rsidRPr="0015316A">
        <w:rPr>
          <w:rFonts w:cs="2  Mitra" w:hint="cs"/>
          <w:spacing w:val="-2"/>
          <w:sz w:val="28"/>
          <w:szCs w:val="28"/>
          <w:rtl/>
          <w:lang w:bidi="fa-IR"/>
        </w:rPr>
        <w:t>لازمه</w:t>
      </w:r>
      <w:r>
        <w:rPr>
          <w:rFonts w:cs="2  Mitra" w:hint="cs"/>
          <w:spacing w:val="-2"/>
          <w:sz w:val="28"/>
          <w:szCs w:val="28"/>
          <w:rtl/>
          <w:lang w:bidi="fa-IR"/>
        </w:rPr>
        <w:t xml:space="preserve"> آن عدم دخول غايت در مغيّی من حيث هو بلکه از حيث </w:t>
      </w:r>
      <w:r>
        <w:rPr>
          <w:rFonts w:cs="2  Mitra" w:hint="cs"/>
          <w:spacing w:val="-2"/>
          <w:sz w:val="28"/>
          <w:szCs w:val="28"/>
          <w:rtl/>
          <w:lang w:bidi="fa-IR"/>
        </w:rPr>
        <w:lastRenderedPageBreak/>
        <w:t>مقدّميت آن برای امتثال است ـ مستلزم دخول جزئی از دو طرف ـ يعنی ابتداء و انتهاء ـ در مأمور به ولو در غير هم جنس است. بلکه چه بسا اين استدلال در برخی از موارد نتيجه عکس بدهد، مثل اين که دست کسی از آرنج قطع شده باشد که در اين صورت شستن آرنج ديگر موضوعيتی نخواهد داشت، زيرا با انتفاء ذي</w:t>
      </w:r>
      <w:r>
        <w:rPr>
          <w:rFonts w:cs="2  Mitra"/>
          <w:spacing w:val="-2"/>
          <w:sz w:val="28"/>
          <w:szCs w:val="28"/>
          <w:rtl/>
          <w:lang w:bidi="fa-IR"/>
        </w:rPr>
        <w:softHyphen/>
      </w:r>
      <w:r>
        <w:rPr>
          <w:rFonts w:cs="2  Mitra" w:hint="cs"/>
          <w:spacing w:val="-2"/>
          <w:sz w:val="28"/>
          <w:szCs w:val="28"/>
          <w:rtl/>
          <w:lang w:bidi="fa-IR"/>
        </w:rPr>
        <w:t>المقدمه، وجوبی برای مقدم باقی نمی</w:t>
      </w:r>
      <w:r>
        <w:rPr>
          <w:rFonts w:cs="2  Mitra"/>
          <w:spacing w:val="-2"/>
          <w:sz w:val="28"/>
          <w:szCs w:val="28"/>
          <w:rtl/>
          <w:lang w:bidi="fa-IR"/>
        </w:rPr>
        <w:softHyphen/>
      </w:r>
      <w:r>
        <w:rPr>
          <w:rFonts w:cs="2  Mitra" w:hint="cs"/>
          <w:spacing w:val="-2"/>
          <w:sz w:val="28"/>
          <w:szCs w:val="28"/>
          <w:rtl/>
          <w:lang w:bidi="fa-IR"/>
        </w:rPr>
        <w:t>ماند، بر خلاف اين که دخول آرنج در مغسول را بالاصاله بدانيم نه از باب مقدمه.</w:t>
      </w:r>
      <w:r w:rsidRPr="00D606E9">
        <w:rPr>
          <w:rStyle w:val="FootnoteReference"/>
          <w:rFonts w:cs="2  Mitra"/>
          <w:sz w:val="28"/>
          <w:szCs w:val="28"/>
          <w:rtl/>
          <w:lang w:bidi="fa-IR"/>
        </w:rPr>
        <w:footnoteReference w:id="2"/>
      </w:r>
      <w:r w:rsidRPr="003A6553">
        <w:rPr>
          <w:rFonts w:cs="Abz-2 (Badr)" w:hint="cs"/>
          <w:sz w:val="28"/>
          <w:szCs w:val="28"/>
          <w:rtl/>
          <w:lang w:bidi="fa-IR"/>
        </w:rPr>
        <w:t>‏</w:t>
      </w:r>
    </w:p>
    <w:p w14:paraId="45A090AB" w14:textId="77777777" w:rsidR="00A33B4A" w:rsidRDefault="00A33B4A" w:rsidP="00A33B4A">
      <w:pPr>
        <w:widowControl w:val="0"/>
        <w:bidi/>
        <w:spacing w:before="240" w:line="259" w:lineRule="auto"/>
        <w:ind w:firstLine="289"/>
        <w:jc w:val="both"/>
        <w:rPr>
          <w:rFonts w:cs="2  Mitra"/>
          <w:spacing w:val="-2"/>
          <w:sz w:val="28"/>
          <w:szCs w:val="28"/>
          <w:rtl/>
          <w:lang w:bidi="fa-IR"/>
        </w:rPr>
      </w:pPr>
      <w:r w:rsidRPr="0015316A">
        <w:rPr>
          <w:rFonts w:cs="2  Mitra" w:hint="cs"/>
          <w:spacing w:val="-2"/>
          <w:sz w:val="28"/>
          <w:szCs w:val="28"/>
          <w:rtl/>
          <w:lang w:bidi="fa-IR"/>
        </w:rPr>
        <w:t xml:space="preserve">حق نيز در اين کلام با مرحوم صاحب هدايه است و وجهی برای </w:t>
      </w:r>
      <w:r>
        <w:rPr>
          <w:rFonts w:cs="2  Mitra" w:hint="cs"/>
          <w:spacing w:val="-2"/>
          <w:sz w:val="28"/>
          <w:szCs w:val="28"/>
          <w:rtl/>
          <w:lang w:bidi="fa-IR"/>
        </w:rPr>
        <w:t>تفصيل بين غايت هم جنس با مغيّی و غايت غير هم جنس با آن وجود ندارد.</w:t>
      </w:r>
    </w:p>
    <w:p w14:paraId="3BDABDF9" w14:textId="77777777" w:rsidR="00A33B4A" w:rsidRPr="005D0BA3" w:rsidRDefault="00A33B4A" w:rsidP="00A33B4A">
      <w:pPr>
        <w:widowControl w:val="0"/>
        <w:bidi/>
        <w:spacing w:before="240" w:line="259" w:lineRule="auto"/>
        <w:ind w:firstLine="289"/>
        <w:jc w:val="both"/>
        <w:rPr>
          <w:rFonts w:cs="2  Mitra"/>
          <w:sz w:val="28"/>
          <w:szCs w:val="28"/>
          <w:rtl/>
          <w:lang w:bidi="fa-IR"/>
        </w:rPr>
      </w:pPr>
      <w:r w:rsidRPr="005D0BA3">
        <w:rPr>
          <w:rFonts w:cs="2  Mitra" w:hint="cs"/>
          <w:sz w:val="28"/>
          <w:szCs w:val="28"/>
          <w:rtl/>
          <w:lang w:bidi="fa-IR"/>
        </w:rPr>
        <w:t>اما قول چهارم مربوط به مرحوم محقق عراقی است.</w:t>
      </w:r>
    </w:p>
    <w:p w14:paraId="51B6C8BB" w14:textId="77777777" w:rsidR="00A33B4A" w:rsidRPr="0015316A" w:rsidRDefault="00A33B4A" w:rsidP="00A33B4A">
      <w:pPr>
        <w:widowControl w:val="0"/>
        <w:bidi/>
        <w:spacing w:before="240" w:line="259" w:lineRule="auto"/>
        <w:ind w:firstLine="289"/>
        <w:jc w:val="both"/>
        <w:rPr>
          <w:rFonts w:cs="Abz-2 (Badr)"/>
          <w:sz w:val="28"/>
          <w:szCs w:val="28"/>
          <w:lang w:bidi="fa-IR"/>
        </w:rPr>
      </w:pPr>
      <w:r w:rsidRPr="005D0BA3">
        <w:rPr>
          <w:rFonts w:cs="2  Mitra" w:hint="cs"/>
          <w:sz w:val="28"/>
          <w:szCs w:val="28"/>
          <w:rtl/>
          <w:lang w:bidi="fa-IR"/>
        </w:rPr>
        <w:t>ايشان در اين خصوص می</w:t>
      </w:r>
      <w:r w:rsidRPr="005D0BA3">
        <w:rPr>
          <w:rFonts w:cs="2  Mitra"/>
          <w:sz w:val="28"/>
          <w:szCs w:val="28"/>
          <w:rtl/>
          <w:lang w:bidi="fa-IR"/>
        </w:rPr>
        <w:softHyphen/>
      </w:r>
      <w:r w:rsidRPr="005D0BA3">
        <w:rPr>
          <w:rFonts w:cs="2  Mitra" w:hint="cs"/>
          <w:sz w:val="28"/>
          <w:szCs w:val="28"/>
          <w:rtl/>
          <w:lang w:bidi="fa-IR"/>
        </w:rPr>
        <w:t>فرماید: «</w:t>
      </w:r>
      <w:r w:rsidRPr="005D0BA3">
        <w:rPr>
          <w:rFonts w:cs="Abz-2 (Badr)" w:hint="cs"/>
          <w:sz w:val="28"/>
          <w:szCs w:val="28"/>
          <w:rtl/>
          <w:lang w:bidi="fa-IR"/>
        </w:rPr>
        <w:t>إ</w:t>
      </w:r>
      <w:r w:rsidRPr="0015316A">
        <w:rPr>
          <w:rFonts w:cs="Abz-2 (Badr)" w:hint="cs"/>
          <w:sz w:val="28"/>
          <w:szCs w:val="28"/>
          <w:rtl/>
          <w:lang w:bidi="fa-IR"/>
        </w:rPr>
        <w:t>ن كانت مثل</w:t>
      </w:r>
      <w:r w:rsidRPr="005D0BA3">
        <w:rPr>
          <w:rFonts w:cs="Abz-2 (Badr)" w:hint="cs"/>
          <w:sz w:val="28"/>
          <w:szCs w:val="28"/>
          <w:rtl/>
          <w:lang w:bidi="fa-IR"/>
        </w:rPr>
        <w:t>:</w:t>
      </w:r>
      <w:r w:rsidRPr="0015316A">
        <w:rPr>
          <w:rFonts w:cs="Abz-2 (Badr)" w:hint="cs"/>
          <w:sz w:val="28"/>
          <w:szCs w:val="28"/>
          <w:rtl/>
          <w:lang w:bidi="fa-IR"/>
        </w:rPr>
        <w:t xml:space="preserve"> </w:t>
      </w:r>
      <w:r w:rsidRPr="005D0BA3">
        <w:rPr>
          <w:rFonts w:cs="Abz-2 (Badr)" w:hint="cs"/>
          <w:sz w:val="28"/>
          <w:szCs w:val="28"/>
          <w:rtl/>
          <w:lang w:bidi="fa-IR"/>
        </w:rPr>
        <w:t>«</w:t>
      </w:r>
      <w:r w:rsidRPr="0015316A">
        <w:rPr>
          <w:rFonts w:cs="Abz-2 (Badr)" w:hint="cs"/>
          <w:sz w:val="28"/>
          <w:szCs w:val="28"/>
          <w:rtl/>
          <w:lang w:bidi="fa-IR"/>
        </w:rPr>
        <w:t>حتّى</w:t>
      </w:r>
      <w:r w:rsidRPr="005D0BA3">
        <w:rPr>
          <w:rFonts w:cs="Abz-2 (Badr)" w:hint="cs"/>
          <w:sz w:val="28"/>
          <w:szCs w:val="28"/>
          <w:rtl/>
          <w:lang w:bidi="fa-IR"/>
        </w:rPr>
        <w:t>»</w:t>
      </w:r>
      <w:r w:rsidRPr="0015316A">
        <w:rPr>
          <w:rFonts w:cs="Abz-2 (Badr)" w:hint="cs"/>
          <w:sz w:val="28"/>
          <w:szCs w:val="28"/>
          <w:rtl/>
          <w:lang w:bidi="fa-IR"/>
        </w:rPr>
        <w:t xml:space="preserve"> فالظاهر ظهورها في دخول مدخولها في المغيّ</w:t>
      </w:r>
      <w:r w:rsidRPr="005D0BA3">
        <w:rPr>
          <w:rFonts w:cs="Abz-2 (Badr)" w:hint="cs"/>
          <w:sz w:val="28"/>
          <w:szCs w:val="28"/>
          <w:rtl/>
          <w:lang w:bidi="fa-IR"/>
        </w:rPr>
        <w:t>ی،</w:t>
      </w:r>
      <w:r w:rsidRPr="0015316A">
        <w:rPr>
          <w:rFonts w:cs="Abz-2 (Badr)" w:hint="cs"/>
          <w:sz w:val="28"/>
          <w:szCs w:val="28"/>
          <w:rtl/>
          <w:lang w:bidi="fa-IR"/>
        </w:rPr>
        <w:t xml:space="preserve"> مثل: قوله</w:t>
      </w:r>
      <w:r w:rsidRPr="005D0BA3">
        <w:rPr>
          <w:rFonts w:cs="Abz-2 (Badr)" w:hint="cs"/>
          <w:sz w:val="28"/>
          <w:szCs w:val="28"/>
          <w:rtl/>
          <w:lang w:bidi="fa-IR"/>
        </w:rPr>
        <w:t>:</w:t>
      </w:r>
      <w:r w:rsidRPr="0015316A">
        <w:rPr>
          <w:rFonts w:cs="Abz-2 (Badr)" w:hint="cs"/>
          <w:sz w:val="28"/>
          <w:szCs w:val="28"/>
          <w:rtl/>
          <w:lang w:bidi="fa-IR"/>
        </w:rPr>
        <w:t xml:space="preserve"> </w:t>
      </w:r>
      <w:r w:rsidRPr="005D0BA3">
        <w:rPr>
          <w:rFonts w:cs="Abz-2 (Badr)" w:hint="cs"/>
          <w:sz w:val="28"/>
          <w:szCs w:val="28"/>
          <w:rtl/>
          <w:lang w:bidi="fa-IR"/>
        </w:rPr>
        <w:t>«</w:t>
      </w:r>
      <w:r w:rsidRPr="0015316A">
        <w:rPr>
          <w:rFonts w:cs="Abz-2 (Badr)" w:hint="cs"/>
          <w:sz w:val="28"/>
          <w:szCs w:val="28"/>
          <w:rtl/>
          <w:lang w:bidi="fa-IR"/>
        </w:rPr>
        <w:t>أكلت السمكة حتّى رأسها</w:t>
      </w:r>
      <w:r w:rsidRPr="005D0BA3">
        <w:rPr>
          <w:rFonts w:cs="Abz-2 (Badr)" w:hint="cs"/>
          <w:sz w:val="28"/>
          <w:szCs w:val="28"/>
          <w:rtl/>
          <w:lang w:bidi="fa-IR"/>
        </w:rPr>
        <w:t>»</w:t>
      </w:r>
      <w:r w:rsidRPr="0015316A">
        <w:rPr>
          <w:rFonts w:cs="Abz-2 (Badr)" w:hint="cs"/>
          <w:sz w:val="28"/>
          <w:szCs w:val="28"/>
          <w:rtl/>
          <w:lang w:bidi="fa-IR"/>
        </w:rPr>
        <w:t xml:space="preserve"> و</w:t>
      </w:r>
      <w:r w:rsidRPr="005D0BA3">
        <w:rPr>
          <w:rFonts w:cs="Abz-2 (Badr)" w:hint="cs"/>
          <w:sz w:val="28"/>
          <w:szCs w:val="28"/>
          <w:rtl/>
          <w:lang w:bidi="fa-IR"/>
        </w:rPr>
        <w:t>«</w:t>
      </w:r>
      <w:r w:rsidRPr="0015316A">
        <w:rPr>
          <w:rFonts w:cs="Abz-2 (Badr)" w:hint="cs"/>
          <w:sz w:val="28"/>
          <w:szCs w:val="28"/>
          <w:rtl/>
          <w:lang w:bidi="fa-IR"/>
        </w:rPr>
        <w:t>صوموا حتّى الليل</w:t>
      </w:r>
      <w:r w:rsidRPr="005D0BA3">
        <w:rPr>
          <w:rFonts w:cs="Abz-2 (Badr)" w:hint="cs"/>
          <w:sz w:val="28"/>
          <w:szCs w:val="28"/>
          <w:rtl/>
          <w:lang w:bidi="fa-IR"/>
        </w:rPr>
        <w:t>»</w:t>
      </w:r>
      <w:r w:rsidRPr="0015316A">
        <w:rPr>
          <w:rFonts w:cs="Abz-2 (Badr)" w:hint="cs"/>
          <w:sz w:val="28"/>
          <w:szCs w:val="28"/>
          <w:rtl/>
          <w:lang w:bidi="fa-IR"/>
        </w:rPr>
        <w:t>.</w:t>
      </w:r>
    </w:p>
    <w:p w14:paraId="6C3F8E84" w14:textId="77777777" w:rsidR="00A33B4A" w:rsidRPr="0015316A" w:rsidRDefault="00A33B4A" w:rsidP="00A33B4A">
      <w:pPr>
        <w:widowControl w:val="0"/>
        <w:bidi/>
        <w:spacing w:before="240" w:line="259" w:lineRule="auto"/>
        <w:ind w:firstLine="289"/>
        <w:jc w:val="both"/>
        <w:rPr>
          <w:rFonts w:cs="Abz-2 (Badr)"/>
          <w:sz w:val="28"/>
          <w:szCs w:val="28"/>
          <w:rtl/>
          <w:lang w:bidi="fa-IR"/>
        </w:rPr>
      </w:pPr>
      <w:r w:rsidRPr="0015316A">
        <w:rPr>
          <w:rFonts w:cs="Abz-2 (Badr)" w:hint="cs"/>
          <w:spacing w:val="-2"/>
          <w:sz w:val="28"/>
          <w:szCs w:val="28"/>
          <w:rtl/>
          <w:lang w:bidi="fa-IR"/>
        </w:rPr>
        <w:t>وأمّا لو كانت مثل</w:t>
      </w:r>
      <w:r w:rsidRPr="005D0BA3">
        <w:rPr>
          <w:rFonts w:cs="Abz-2 (Badr)" w:hint="cs"/>
          <w:spacing w:val="-2"/>
          <w:sz w:val="28"/>
          <w:szCs w:val="28"/>
          <w:rtl/>
          <w:lang w:bidi="fa-IR"/>
        </w:rPr>
        <w:t>:</w:t>
      </w:r>
      <w:r w:rsidRPr="0015316A">
        <w:rPr>
          <w:rFonts w:cs="Abz-2 (Badr)" w:hint="cs"/>
          <w:spacing w:val="-2"/>
          <w:sz w:val="28"/>
          <w:szCs w:val="28"/>
          <w:rtl/>
          <w:lang w:bidi="fa-IR"/>
        </w:rPr>
        <w:t xml:space="preserve"> </w:t>
      </w:r>
      <w:r w:rsidRPr="005D0BA3">
        <w:rPr>
          <w:rFonts w:cs="Abz-2 (Badr)" w:hint="cs"/>
          <w:spacing w:val="-2"/>
          <w:sz w:val="28"/>
          <w:szCs w:val="28"/>
          <w:rtl/>
          <w:lang w:bidi="fa-IR"/>
        </w:rPr>
        <w:t>«</w:t>
      </w:r>
      <w:r w:rsidRPr="0015316A">
        <w:rPr>
          <w:rFonts w:cs="Abz-2 (Badr)" w:hint="cs"/>
          <w:spacing w:val="-2"/>
          <w:sz w:val="28"/>
          <w:szCs w:val="28"/>
          <w:rtl/>
          <w:lang w:bidi="fa-IR"/>
        </w:rPr>
        <w:t>إلى</w:t>
      </w:r>
      <w:r w:rsidRPr="005D0BA3">
        <w:rPr>
          <w:rFonts w:cs="Abz-2 (Badr)" w:hint="cs"/>
          <w:spacing w:val="-2"/>
          <w:sz w:val="28"/>
          <w:szCs w:val="28"/>
          <w:rtl/>
          <w:lang w:bidi="fa-IR"/>
        </w:rPr>
        <w:t>»</w:t>
      </w:r>
      <w:r w:rsidRPr="0015316A">
        <w:rPr>
          <w:rFonts w:cs="Abz-2 (Badr)" w:hint="cs"/>
          <w:spacing w:val="-2"/>
          <w:sz w:val="28"/>
          <w:szCs w:val="28"/>
          <w:rtl/>
          <w:lang w:bidi="fa-IR"/>
        </w:rPr>
        <w:t xml:space="preserve"> فالظاهر عدم دلالتها على دخول المدخول في المغيّ</w:t>
      </w:r>
      <w:r w:rsidRPr="005D0BA3">
        <w:rPr>
          <w:rFonts w:cs="Abz-2 (Badr)" w:hint="cs"/>
          <w:spacing w:val="-2"/>
          <w:sz w:val="28"/>
          <w:szCs w:val="28"/>
          <w:rtl/>
          <w:lang w:bidi="fa-IR"/>
        </w:rPr>
        <w:t>ی</w:t>
      </w:r>
      <w:r w:rsidRPr="0015316A">
        <w:rPr>
          <w:rFonts w:cs="Abz-2 (Badr)" w:hint="cs"/>
          <w:spacing w:val="-2"/>
          <w:sz w:val="28"/>
          <w:szCs w:val="28"/>
          <w:rtl/>
          <w:lang w:bidi="fa-IR"/>
        </w:rPr>
        <w:t xml:space="preserve"> وتفارق من تلك الجهة كلمة </w:t>
      </w:r>
      <w:r w:rsidRPr="005D0BA3">
        <w:rPr>
          <w:rFonts w:cs="Abz-2 (Badr)" w:hint="cs"/>
          <w:spacing w:val="-2"/>
          <w:sz w:val="28"/>
          <w:szCs w:val="28"/>
          <w:rtl/>
          <w:lang w:bidi="fa-IR"/>
        </w:rPr>
        <w:t>«</w:t>
      </w:r>
      <w:r w:rsidRPr="0015316A">
        <w:rPr>
          <w:rFonts w:cs="Abz-2 (Badr)" w:hint="cs"/>
          <w:spacing w:val="-2"/>
          <w:sz w:val="28"/>
          <w:szCs w:val="28"/>
          <w:rtl/>
          <w:lang w:bidi="fa-IR"/>
        </w:rPr>
        <w:t>حتّى</w:t>
      </w:r>
      <w:r w:rsidRPr="005D0BA3">
        <w:rPr>
          <w:rFonts w:cs="Abz-2 (Badr)" w:hint="cs"/>
          <w:spacing w:val="-2"/>
          <w:sz w:val="28"/>
          <w:szCs w:val="28"/>
          <w:rtl/>
          <w:lang w:bidi="fa-IR"/>
        </w:rPr>
        <w:t>»</w:t>
      </w:r>
      <w:r w:rsidRPr="0015316A">
        <w:rPr>
          <w:rFonts w:cs="Abz-2 (Badr)" w:hint="cs"/>
          <w:spacing w:val="-2"/>
          <w:sz w:val="28"/>
          <w:szCs w:val="28"/>
          <w:rtl/>
          <w:lang w:bidi="fa-IR"/>
        </w:rPr>
        <w:t>.</w:t>
      </w:r>
      <w:r w:rsidRPr="005D0BA3">
        <w:rPr>
          <w:rFonts w:cs="2  Mitra" w:hint="cs"/>
          <w:spacing w:val="-2"/>
          <w:sz w:val="28"/>
          <w:szCs w:val="28"/>
          <w:rtl/>
          <w:lang w:bidi="fa-IR"/>
        </w:rPr>
        <w:t>»</w:t>
      </w:r>
      <w:r w:rsidRPr="005D0BA3">
        <w:rPr>
          <w:rStyle w:val="FootnoteReference"/>
          <w:rFonts w:cs="2  Mitra"/>
          <w:sz w:val="28"/>
          <w:szCs w:val="28"/>
          <w:rtl/>
          <w:lang w:bidi="fa-IR"/>
        </w:rPr>
        <w:footnoteReference w:id="3"/>
      </w:r>
      <w:r w:rsidRPr="005D0BA3">
        <w:rPr>
          <w:rFonts w:cs="Abz-2 (Badr)" w:hint="cs"/>
          <w:sz w:val="28"/>
          <w:szCs w:val="28"/>
          <w:rtl/>
          <w:lang w:bidi="fa-IR"/>
        </w:rPr>
        <w:t>‏</w:t>
      </w:r>
    </w:p>
    <w:p w14:paraId="5D4B3CF6" w14:textId="77777777" w:rsidR="00A33B4A" w:rsidRPr="005D0BA3" w:rsidRDefault="00A33B4A" w:rsidP="00A33B4A">
      <w:pPr>
        <w:widowControl w:val="0"/>
        <w:bidi/>
        <w:spacing w:before="240" w:line="259" w:lineRule="auto"/>
        <w:ind w:firstLine="289"/>
        <w:jc w:val="both"/>
        <w:rPr>
          <w:rFonts w:cs="Abz-2 (Badr)"/>
          <w:sz w:val="28"/>
          <w:szCs w:val="28"/>
          <w:rtl/>
          <w:lang w:bidi="fa-IR"/>
        </w:rPr>
      </w:pPr>
      <w:r w:rsidRPr="005D0BA3">
        <w:rPr>
          <w:rFonts w:cs="2  Mitra" w:hint="cs"/>
          <w:sz w:val="28"/>
          <w:szCs w:val="28"/>
          <w:rtl/>
          <w:lang w:bidi="fa-IR"/>
        </w:rPr>
        <w:t>مرحوم میرزای نایینی نیز به این تفصیل تمایل پیدا کرده و فرموده است: «</w:t>
      </w:r>
      <w:r w:rsidRPr="0015316A">
        <w:rPr>
          <w:rFonts w:cs="Abz-2 (Badr)" w:hint="cs"/>
          <w:sz w:val="28"/>
          <w:szCs w:val="28"/>
          <w:rtl/>
          <w:lang w:bidi="fa-IR"/>
        </w:rPr>
        <w:t>قد اختلفوا فيها من حيث دخول الغاية في حكم المغي</w:t>
      </w:r>
      <w:r w:rsidRPr="005D0BA3">
        <w:rPr>
          <w:rFonts w:cs="Abz-2 (Badr)" w:hint="cs"/>
          <w:sz w:val="28"/>
          <w:szCs w:val="28"/>
          <w:rtl/>
          <w:lang w:bidi="fa-IR"/>
        </w:rPr>
        <w:t>ّی</w:t>
      </w:r>
      <w:r w:rsidRPr="0015316A">
        <w:rPr>
          <w:rFonts w:cs="Abz-2 (Badr)" w:hint="cs"/>
          <w:sz w:val="28"/>
          <w:szCs w:val="28"/>
          <w:rtl/>
          <w:lang w:bidi="fa-IR"/>
        </w:rPr>
        <w:t xml:space="preserve"> وعدمه على أقوال</w:t>
      </w:r>
      <w:r w:rsidRPr="005D0BA3">
        <w:rPr>
          <w:rFonts w:cs="Abz-2 (Badr)" w:hint="cs"/>
          <w:sz w:val="28"/>
          <w:szCs w:val="28"/>
          <w:rtl/>
          <w:lang w:bidi="fa-IR"/>
        </w:rPr>
        <w:t>...</w:t>
      </w:r>
      <w:r w:rsidRPr="0015316A">
        <w:rPr>
          <w:rFonts w:cs="Abz-2 (Badr)" w:hint="cs"/>
          <w:sz w:val="28"/>
          <w:szCs w:val="28"/>
          <w:rtl/>
          <w:lang w:bidi="fa-IR"/>
        </w:rPr>
        <w:t xml:space="preserve"> رابعها</w:t>
      </w:r>
      <w:r w:rsidRPr="005D0BA3">
        <w:rPr>
          <w:rFonts w:cs="Abz-2 (Badr)" w:hint="cs"/>
          <w:sz w:val="28"/>
          <w:szCs w:val="28"/>
          <w:rtl/>
          <w:lang w:bidi="fa-IR"/>
        </w:rPr>
        <w:t>:</w:t>
      </w:r>
      <w:r w:rsidRPr="0015316A">
        <w:rPr>
          <w:rFonts w:cs="Abz-2 (Badr)" w:hint="cs"/>
          <w:sz w:val="28"/>
          <w:szCs w:val="28"/>
          <w:rtl/>
          <w:lang w:bidi="fa-IR"/>
        </w:rPr>
        <w:t xml:space="preserve"> التفصيل بين كون الغاية مدخولة لكلمة </w:t>
      </w:r>
      <w:r w:rsidRPr="005D0BA3">
        <w:rPr>
          <w:rFonts w:cs="Abz-2 (Badr)" w:hint="cs"/>
          <w:sz w:val="28"/>
          <w:szCs w:val="28"/>
          <w:rtl/>
          <w:lang w:bidi="fa-IR"/>
        </w:rPr>
        <w:t>«</w:t>
      </w:r>
      <w:r w:rsidRPr="0015316A">
        <w:rPr>
          <w:rFonts w:cs="Abz-2 (Badr)" w:hint="cs"/>
          <w:sz w:val="28"/>
          <w:szCs w:val="28"/>
          <w:rtl/>
          <w:lang w:bidi="fa-IR"/>
        </w:rPr>
        <w:t>إلى</w:t>
      </w:r>
      <w:r w:rsidRPr="005D0BA3">
        <w:rPr>
          <w:rFonts w:cs="Abz-2 (Badr)" w:hint="cs"/>
          <w:sz w:val="28"/>
          <w:szCs w:val="28"/>
          <w:rtl/>
          <w:lang w:bidi="fa-IR"/>
        </w:rPr>
        <w:t>»</w:t>
      </w:r>
      <w:r w:rsidRPr="0015316A">
        <w:rPr>
          <w:rFonts w:cs="Abz-2 (Badr)" w:hint="cs"/>
          <w:sz w:val="28"/>
          <w:szCs w:val="28"/>
          <w:rtl/>
          <w:lang w:bidi="fa-IR"/>
        </w:rPr>
        <w:t xml:space="preserve"> ومدخولة لكلمة </w:t>
      </w:r>
      <w:r w:rsidRPr="005D0BA3">
        <w:rPr>
          <w:rFonts w:cs="Abz-2 (Badr)" w:hint="cs"/>
          <w:sz w:val="28"/>
          <w:szCs w:val="28"/>
          <w:rtl/>
          <w:lang w:bidi="fa-IR"/>
        </w:rPr>
        <w:t>«</w:t>
      </w:r>
      <w:r w:rsidRPr="0015316A">
        <w:rPr>
          <w:rFonts w:cs="Abz-2 (Badr)" w:hint="cs"/>
          <w:sz w:val="28"/>
          <w:szCs w:val="28"/>
          <w:rtl/>
          <w:lang w:bidi="fa-IR"/>
        </w:rPr>
        <w:t>حت</w:t>
      </w:r>
      <w:r w:rsidRPr="005D0BA3">
        <w:rPr>
          <w:rFonts w:cs="Abz-2 (Badr)" w:hint="cs"/>
          <w:sz w:val="28"/>
          <w:szCs w:val="28"/>
          <w:rtl/>
          <w:lang w:bidi="fa-IR"/>
        </w:rPr>
        <w:t>ّ</w:t>
      </w:r>
      <w:r w:rsidRPr="0015316A">
        <w:rPr>
          <w:rFonts w:cs="Abz-2 (Badr)" w:hint="cs"/>
          <w:sz w:val="28"/>
          <w:szCs w:val="28"/>
          <w:rtl/>
          <w:lang w:bidi="fa-IR"/>
        </w:rPr>
        <w:t>ى</w:t>
      </w:r>
      <w:r w:rsidRPr="005D0BA3">
        <w:rPr>
          <w:rFonts w:cs="Abz-2 (Badr)" w:hint="cs"/>
          <w:sz w:val="28"/>
          <w:szCs w:val="28"/>
          <w:rtl/>
          <w:lang w:bidi="fa-IR"/>
        </w:rPr>
        <w:t>».</w:t>
      </w:r>
    </w:p>
    <w:p w14:paraId="2A6E8F7F" w14:textId="77777777" w:rsidR="00A33B4A" w:rsidRPr="005D0BA3" w:rsidRDefault="00A33B4A" w:rsidP="00A33B4A">
      <w:pPr>
        <w:widowControl w:val="0"/>
        <w:bidi/>
        <w:spacing w:before="240" w:line="259" w:lineRule="auto"/>
        <w:ind w:firstLine="289"/>
        <w:jc w:val="both"/>
        <w:rPr>
          <w:rFonts w:cs="Abz-2 (Badr)"/>
          <w:sz w:val="28"/>
          <w:szCs w:val="28"/>
          <w:rtl/>
          <w:lang w:bidi="fa-IR"/>
        </w:rPr>
      </w:pPr>
      <w:r w:rsidRPr="0015316A">
        <w:rPr>
          <w:rFonts w:cs="Abz-2 (Badr)" w:hint="cs"/>
          <w:sz w:val="28"/>
          <w:szCs w:val="28"/>
          <w:rtl/>
          <w:lang w:bidi="fa-IR"/>
        </w:rPr>
        <w:t>وهذا التفصيل و</w:t>
      </w:r>
      <w:r w:rsidRPr="005D0BA3">
        <w:rPr>
          <w:rFonts w:cs="Abz-2 (Badr)" w:hint="cs"/>
          <w:sz w:val="28"/>
          <w:szCs w:val="28"/>
          <w:rtl/>
          <w:lang w:bidi="fa-IR"/>
        </w:rPr>
        <w:t>إ</w:t>
      </w:r>
      <w:r w:rsidRPr="0015316A">
        <w:rPr>
          <w:rFonts w:cs="Abz-2 (Badr)" w:hint="cs"/>
          <w:sz w:val="28"/>
          <w:szCs w:val="28"/>
          <w:rtl/>
          <w:lang w:bidi="fa-IR"/>
        </w:rPr>
        <w:t>ن كان حسنا</w:t>
      </w:r>
      <w:r w:rsidRPr="005D0BA3">
        <w:rPr>
          <w:rFonts w:cs="Abz-2 (Badr)" w:hint="cs"/>
          <w:sz w:val="28"/>
          <w:szCs w:val="28"/>
          <w:rtl/>
          <w:lang w:bidi="fa-IR"/>
        </w:rPr>
        <w:t>ً</w:t>
      </w:r>
      <w:r w:rsidRPr="0015316A">
        <w:rPr>
          <w:rFonts w:cs="Abz-2 (Badr)" w:hint="cs"/>
          <w:sz w:val="28"/>
          <w:szCs w:val="28"/>
          <w:rtl/>
          <w:lang w:bidi="fa-IR"/>
        </w:rPr>
        <w:t xml:space="preserve"> في الجملة</w:t>
      </w:r>
      <w:r w:rsidRPr="005D0BA3">
        <w:rPr>
          <w:rFonts w:cs="Abz-2 (Badr)" w:hint="cs"/>
          <w:sz w:val="28"/>
          <w:szCs w:val="28"/>
          <w:rtl/>
          <w:lang w:bidi="fa-IR"/>
        </w:rPr>
        <w:t xml:space="preserve"> ـ</w:t>
      </w:r>
      <w:r w:rsidRPr="0015316A">
        <w:rPr>
          <w:rFonts w:cs="Abz-2 (Badr)" w:hint="cs"/>
          <w:sz w:val="28"/>
          <w:szCs w:val="28"/>
          <w:rtl/>
          <w:lang w:bidi="fa-IR"/>
        </w:rPr>
        <w:t xml:space="preserve"> لأن</w:t>
      </w:r>
      <w:r w:rsidRPr="005D0BA3">
        <w:rPr>
          <w:rFonts w:cs="Abz-2 (Badr)" w:hint="cs"/>
          <w:sz w:val="28"/>
          <w:szCs w:val="28"/>
          <w:rtl/>
          <w:lang w:bidi="fa-IR"/>
        </w:rPr>
        <w:t>ّ</w:t>
      </w:r>
      <w:r w:rsidRPr="0015316A">
        <w:rPr>
          <w:rFonts w:cs="Abz-2 (Badr)" w:hint="cs"/>
          <w:sz w:val="28"/>
          <w:szCs w:val="28"/>
          <w:rtl/>
          <w:lang w:bidi="fa-IR"/>
        </w:rPr>
        <w:t xml:space="preserve"> كلمة </w:t>
      </w:r>
      <w:r w:rsidRPr="005D0BA3">
        <w:rPr>
          <w:rFonts w:cs="Abz-2 (Badr)" w:hint="cs"/>
          <w:sz w:val="28"/>
          <w:szCs w:val="28"/>
          <w:rtl/>
          <w:lang w:bidi="fa-IR"/>
        </w:rPr>
        <w:t>«</w:t>
      </w:r>
      <w:r w:rsidRPr="0015316A">
        <w:rPr>
          <w:rFonts w:cs="Abz-2 (Badr)" w:hint="cs"/>
          <w:sz w:val="28"/>
          <w:szCs w:val="28"/>
          <w:rtl/>
          <w:lang w:bidi="fa-IR"/>
        </w:rPr>
        <w:t>حت</w:t>
      </w:r>
      <w:r w:rsidRPr="005D0BA3">
        <w:rPr>
          <w:rFonts w:cs="Abz-2 (Badr)" w:hint="cs"/>
          <w:sz w:val="28"/>
          <w:szCs w:val="28"/>
          <w:rtl/>
          <w:lang w:bidi="fa-IR"/>
        </w:rPr>
        <w:t>ّ</w:t>
      </w:r>
      <w:r w:rsidRPr="0015316A">
        <w:rPr>
          <w:rFonts w:cs="Abz-2 (Badr)" w:hint="cs"/>
          <w:sz w:val="28"/>
          <w:szCs w:val="28"/>
          <w:rtl/>
          <w:lang w:bidi="fa-IR"/>
        </w:rPr>
        <w:t>ى</w:t>
      </w:r>
      <w:r w:rsidRPr="005D0BA3">
        <w:rPr>
          <w:rFonts w:cs="Abz-2 (Badr)" w:hint="cs"/>
          <w:sz w:val="28"/>
          <w:szCs w:val="28"/>
          <w:rtl/>
          <w:lang w:bidi="fa-IR"/>
        </w:rPr>
        <w:t>»</w:t>
      </w:r>
      <w:r w:rsidRPr="0015316A">
        <w:rPr>
          <w:rFonts w:cs="Abz-2 (Badr)" w:hint="cs"/>
          <w:sz w:val="28"/>
          <w:szCs w:val="28"/>
          <w:rtl/>
          <w:lang w:bidi="fa-IR"/>
        </w:rPr>
        <w:t xml:space="preserve"> تستعمل غالباً في إدخال الفرد الخفي</w:t>
      </w:r>
      <w:r w:rsidRPr="005D0BA3">
        <w:rPr>
          <w:rFonts w:cs="Abz-2 (Badr)" w:hint="cs"/>
          <w:sz w:val="28"/>
          <w:szCs w:val="28"/>
          <w:rtl/>
          <w:lang w:bidi="fa-IR"/>
        </w:rPr>
        <w:t>ّ</w:t>
      </w:r>
      <w:r w:rsidRPr="0015316A">
        <w:rPr>
          <w:rFonts w:cs="Abz-2 (Badr)" w:hint="cs"/>
          <w:sz w:val="28"/>
          <w:szCs w:val="28"/>
          <w:rtl/>
          <w:lang w:bidi="fa-IR"/>
        </w:rPr>
        <w:t xml:space="preserve"> في موضوع الحكم</w:t>
      </w:r>
      <w:r w:rsidRPr="005D0BA3">
        <w:rPr>
          <w:rFonts w:cs="Abz-2 (Badr)" w:hint="cs"/>
          <w:sz w:val="28"/>
          <w:szCs w:val="28"/>
          <w:rtl/>
          <w:lang w:bidi="fa-IR"/>
        </w:rPr>
        <w:t>،</w:t>
      </w:r>
      <w:r w:rsidRPr="0015316A">
        <w:rPr>
          <w:rFonts w:cs="Abz-2 (Badr)" w:hint="cs"/>
          <w:sz w:val="28"/>
          <w:szCs w:val="28"/>
          <w:rtl/>
          <w:lang w:bidi="fa-IR"/>
        </w:rPr>
        <w:t xml:space="preserve"> فتكون الغاية حينئذ</w:t>
      </w:r>
      <w:r w:rsidRPr="005D0BA3">
        <w:rPr>
          <w:rFonts w:cs="Abz-2 (Badr)" w:hint="cs"/>
          <w:sz w:val="28"/>
          <w:szCs w:val="28"/>
          <w:rtl/>
          <w:lang w:bidi="fa-IR"/>
        </w:rPr>
        <w:t>ٍ</w:t>
      </w:r>
      <w:r w:rsidRPr="0015316A">
        <w:rPr>
          <w:rFonts w:cs="Abz-2 (Badr)" w:hint="cs"/>
          <w:sz w:val="28"/>
          <w:szCs w:val="28"/>
          <w:rtl/>
          <w:lang w:bidi="fa-IR"/>
        </w:rPr>
        <w:t xml:space="preserve"> داخلة في المغي</w:t>
      </w:r>
      <w:r w:rsidRPr="005D0BA3">
        <w:rPr>
          <w:rFonts w:cs="Abz-2 (Badr)" w:hint="cs"/>
          <w:sz w:val="28"/>
          <w:szCs w:val="28"/>
          <w:rtl/>
          <w:lang w:bidi="fa-IR"/>
        </w:rPr>
        <w:t>ّی</w:t>
      </w:r>
      <w:r w:rsidRPr="0015316A">
        <w:rPr>
          <w:rFonts w:cs="Abz-2 (Badr)" w:hint="cs"/>
          <w:sz w:val="28"/>
          <w:szCs w:val="28"/>
          <w:rtl/>
          <w:lang w:bidi="fa-IR"/>
        </w:rPr>
        <w:t xml:space="preserve"> لا محالة</w:t>
      </w:r>
      <w:r w:rsidRPr="005D0BA3">
        <w:rPr>
          <w:rFonts w:cs="Abz-2 (Badr)" w:hint="cs"/>
          <w:sz w:val="28"/>
          <w:szCs w:val="28"/>
          <w:rtl/>
          <w:lang w:bidi="fa-IR"/>
        </w:rPr>
        <w:t xml:space="preserve"> ـ</w:t>
      </w:r>
      <w:r w:rsidRPr="0015316A">
        <w:rPr>
          <w:rFonts w:cs="Abz-2 (Badr)" w:hint="cs"/>
          <w:sz w:val="28"/>
          <w:szCs w:val="28"/>
          <w:rtl/>
          <w:lang w:bidi="fa-IR"/>
        </w:rPr>
        <w:t xml:space="preserve"> لكن ذلك ليس بنحو الكل</w:t>
      </w:r>
      <w:r w:rsidRPr="005D0BA3">
        <w:rPr>
          <w:rFonts w:cs="Abz-2 (Badr)" w:hint="cs"/>
          <w:sz w:val="28"/>
          <w:szCs w:val="28"/>
          <w:rtl/>
          <w:lang w:bidi="fa-IR"/>
        </w:rPr>
        <w:t>ّ</w:t>
      </w:r>
      <w:r w:rsidRPr="0015316A">
        <w:rPr>
          <w:rFonts w:cs="Abz-2 (Badr)" w:hint="cs"/>
          <w:sz w:val="28"/>
          <w:szCs w:val="28"/>
          <w:rtl/>
          <w:lang w:bidi="fa-IR"/>
        </w:rPr>
        <w:t>ي</w:t>
      </w:r>
      <w:r w:rsidRPr="005D0BA3">
        <w:rPr>
          <w:rFonts w:cs="Abz-2 (Badr)" w:hint="cs"/>
          <w:sz w:val="28"/>
          <w:szCs w:val="28"/>
          <w:rtl/>
          <w:lang w:bidi="fa-IR"/>
        </w:rPr>
        <w:t>ّ</w:t>
      </w:r>
      <w:r w:rsidRPr="0015316A">
        <w:rPr>
          <w:rFonts w:cs="Abz-2 (Badr)" w:hint="cs"/>
          <w:sz w:val="28"/>
          <w:szCs w:val="28"/>
          <w:rtl/>
          <w:lang w:bidi="fa-IR"/>
        </w:rPr>
        <w:t>ة والعموم</w:t>
      </w:r>
      <w:r w:rsidRPr="005D0BA3">
        <w:rPr>
          <w:rFonts w:cs="Abz-2 (Badr)" w:hint="cs"/>
          <w:sz w:val="28"/>
          <w:szCs w:val="28"/>
          <w:rtl/>
          <w:lang w:bidi="fa-IR"/>
        </w:rPr>
        <w:t>،</w:t>
      </w:r>
      <w:r w:rsidRPr="0015316A">
        <w:rPr>
          <w:rFonts w:cs="Abz-2 (Badr)" w:hint="cs"/>
          <w:sz w:val="28"/>
          <w:szCs w:val="28"/>
          <w:rtl/>
          <w:lang w:bidi="fa-IR"/>
        </w:rPr>
        <w:t xml:space="preserve"> فلابد</w:t>
      </w:r>
      <w:r w:rsidRPr="005D0BA3">
        <w:rPr>
          <w:rFonts w:cs="Abz-2 (Badr)" w:hint="cs"/>
          <w:sz w:val="28"/>
          <w:szCs w:val="28"/>
          <w:rtl/>
          <w:lang w:bidi="fa-IR"/>
        </w:rPr>
        <w:t>ّ</w:t>
      </w:r>
      <w:r w:rsidRPr="0015316A">
        <w:rPr>
          <w:rFonts w:cs="Abz-2 (Badr)" w:hint="cs"/>
          <w:sz w:val="28"/>
          <w:szCs w:val="28"/>
          <w:rtl/>
          <w:lang w:bidi="fa-IR"/>
        </w:rPr>
        <w:t xml:space="preserve"> من ملاحظة كل</w:t>
      </w:r>
      <w:r w:rsidRPr="005D0BA3">
        <w:rPr>
          <w:rFonts w:cs="Abz-2 (Badr)" w:hint="cs"/>
          <w:sz w:val="28"/>
          <w:szCs w:val="28"/>
          <w:rtl/>
          <w:lang w:bidi="fa-IR"/>
        </w:rPr>
        <w:t>ّ</w:t>
      </w:r>
      <w:r w:rsidRPr="0015316A">
        <w:rPr>
          <w:rFonts w:cs="Abz-2 (Badr)" w:hint="cs"/>
          <w:sz w:val="28"/>
          <w:szCs w:val="28"/>
          <w:rtl/>
          <w:lang w:bidi="fa-IR"/>
        </w:rPr>
        <w:t xml:space="preserve"> مورد بخصوصه والحكم فيه بدخول الغاية في حكم المغي</w:t>
      </w:r>
      <w:r w:rsidRPr="005D0BA3">
        <w:rPr>
          <w:rFonts w:cs="Abz-2 (Badr)" w:hint="cs"/>
          <w:sz w:val="28"/>
          <w:szCs w:val="28"/>
          <w:rtl/>
          <w:lang w:bidi="fa-IR"/>
        </w:rPr>
        <w:t>ّی</w:t>
      </w:r>
      <w:r w:rsidRPr="0015316A">
        <w:rPr>
          <w:rFonts w:cs="Abz-2 (Badr)" w:hint="cs"/>
          <w:sz w:val="28"/>
          <w:szCs w:val="28"/>
          <w:rtl/>
          <w:lang w:bidi="fa-IR"/>
        </w:rPr>
        <w:t xml:space="preserve"> أو عدمه</w:t>
      </w:r>
      <w:r w:rsidRPr="005D0BA3">
        <w:rPr>
          <w:rFonts w:cs="Abz-2 (Badr)" w:hint="cs"/>
          <w:sz w:val="28"/>
          <w:szCs w:val="28"/>
          <w:rtl/>
          <w:lang w:bidi="fa-IR"/>
        </w:rPr>
        <w:t>.</w:t>
      </w:r>
      <w:r w:rsidRPr="005D0BA3">
        <w:rPr>
          <w:rFonts w:cs="2  Mitra" w:hint="cs"/>
          <w:sz w:val="28"/>
          <w:szCs w:val="28"/>
          <w:rtl/>
          <w:lang w:bidi="fa-IR"/>
        </w:rPr>
        <w:t>»</w:t>
      </w:r>
      <w:r w:rsidRPr="005D0BA3">
        <w:rPr>
          <w:rStyle w:val="FootnoteReference"/>
          <w:rFonts w:cs="2  Mitra"/>
          <w:sz w:val="28"/>
          <w:szCs w:val="28"/>
          <w:rtl/>
          <w:lang w:bidi="fa-IR"/>
        </w:rPr>
        <w:footnoteReference w:id="4"/>
      </w:r>
      <w:r w:rsidRPr="005D0BA3">
        <w:rPr>
          <w:rFonts w:cs="Abz-2 (Badr)" w:hint="cs"/>
          <w:sz w:val="28"/>
          <w:szCs w:val="28"/>
          <w:rtl/>
          <w:lang w:bidi="fa-IR"/>
        </w:rPr>
        <w:t>‏</w:t>
      </w:r>
    </w:p>
    <w:p w14:paraId="6E83C4B7" w14:textId="77777777" w:rsidR="00A33B4A" w:rsidRPr="005D0BA3" w:rsidRDefault="00A33B4A" w:rsidP="00A33B4A">
      <w:pPr>
        <w:widowControl w:val="0"/>
        <w:bidi/>
        <w:spacing w:before="240" w:line="259" w:lineRule="auto"/>
        <w:ind w:firstLine="289"/>
        <w:jc w:val="both"/>
        <w:rPr>
          <w:rFonts w:cs="2  Mitra"/>
          <w:spacing w:val="-2"/>
          <w:sz w:val="28"/>
          <w:szCs w:val="28"/>
          <w:rtl/>
          <w:lang w:bidi="fa-IR"/>
        </w:rPr>
      </w:pPr>
      <w:r w:rsidRPr="005D0BA3">
        <w:rPr>
          <w:rFonts w:cs="2  Mitra" w:hint="cs"/>
          <w:spacing w:val="-2"/>
          <w:sz w:val="28"/>
          <w:szCs w:val="28"/>
          <w:rtl/>
          <w:lang w:bidi="fa-IR"/>
        </w:rPr>
        <w:lastRenderedPageBreak/>
        <w:t>اما اشکال اين فرمایش ـ همان گونه که مرحوم آيت الله خوئی و مرحوم امام</w:t>
      </w:r>
      <w:r w:rsidRPr="005D0BA3">
        <w:rPr>
          <w:rStyle w:val="FootnoteReference"/>
          <w:rFonts w:cs="2  Mitra"/>
          <w:spacing w:val="-2"/>
          <w:sz w:val="28"/>
          <w:szCs w:val="28"/>
          <w:rtl/>
          <w:lang w:bidi="fa-IR"/>
        </w:rPr>
        <w:footnoteReference w:id="5"/>
      </w:r>
      <w:r w:rsidRPr="005D0BA3">
        <w:rPr>
          <w:rFonts w:cs="Abz-2 (Badr)" w:hint="cs"/>
          <w:spacing w:val="-2"/>
          <w:sz w:val="28"/>
          <w:szCs w:val="28"/>
          <w:rtl/>
          <w:lang w:bidi="fa-IR"/>
        </w:rPr>
        <w:t>‏</w:t>
      </w:r>
      <w:r w:rsidRPr="005D0BA3">
        <w:rPr>
          <w:rFonts w:cs="2  Mitra" w:hint="cs"/>
          <w:spacing w:val="-2"/>
          <w:sz w:val="28"/>
          <w:szCs w:val="28"/>
          <w:rtl/>
          <w:lang w:bidi="fa-IR"/>
        </w:rPr>
        <w:t xml:space="preserve"> فرموده</w:t>
      </w:r>
      <w:r w:rsidRPr="005D0BA3">
        <w:rPr>
          <w:rFonts w:cs="2  Mitra"/>
          <w:spacing w:val="-2"/>
          <w:sz w:val="28"/>
          <w:szCs w:val="28"/>
          <w:rtl/>
          <w:lang w:bidi="fa-IR"/>
        </w:rPr>
        <w:softHyphen/>
      </w:r>
      <w:r w:rsidRPr="005D0BA3">
        <w:rPr>
          <w:rFonts w:cs="2  Mitra" w:hint="cs"/>
          <w:spacing w:val="-2"/>
          <w:sz w:val="28"/>
          <w:szCs w:val="28"/>
          <w:rtl/>
          <w:lang w:bidi="fa-IR"/>
        </w:rPr>
        <w:t>اند ـ اين است که اين مدعا ناشی از خلط بین استعمل لفظ «حتّی» به عنوان ادات غايت با استعمال آن به عنوان ادات عاطفه است، و در هر موردی که «حتّی» برای ادراج فرد خفی در موضوع حکم استعمال شود، به عنوان ادات عاطفه استعمال شده است نه به عنوان ادات غايت.</w:t>
      </w:r>
    </w:p>
    <w:p w14:paraId="501E888E" w14:textId="77777777" w:rsidR="00A33B4A" w:rsidRPr="00C10F36" w:rsidRDefault="00A33B4A" w:rsidP="00A33B4A">
      <w:pPr>
        <w:widowControl w:val="0"/>
        <w:bidi/>
        <w:spacing w:before="240" w:line="259" w:lineRule="auto"/>
        <w:ind w:firstLine="289"/>
        <w:jc w:val="both"/>
        <w:rPr>
          <w:rFonts w:cs="2  Mitra"/>
          <w:sz w:val="28"/>
          <w:szCs w:val="28"/>
          <w:rtl/>
          <w:lang w:bidi="fa-IR"/>
        </w:rPr>
      </w:pPr>
      <w:r w:rsidRPr="005D0BA3">
        <w:rPr>
          <w:rFonts w:cs="2  Mitra" w:hint="cs"/>
          <w:sz w:val="28"/>
          <w:szCs w:val="28"/>
          <w:rtl/>
          <w:lang w:bidi="fa-IR"/>
        </w:rPr>
        <w:t>بنابر اين وجهی برای فرق گذاشتن بين مدخول «إلی» و مدخول «حتّی» در جايی که به عنوان ادات غايت استعمال شده باشد، وجود ندارد.</w:t>
      </w:r>
    </w:p>
    <w:p w14:paraId="7D9979DE" w14:textId="26D41A3F" w:rsidR="001B24FC" w:rsidRPr="00645829" w:rsidRDefault="001B24FC" w:rsidP="00645829">
      <w:pPr>
        <w:rPr>
          <w:rtl/>
        </w:rPr>
      </w:pPr>
    </w:p>
    <w:sectPr w:rsidR="001B24FC" w:rsidRPr="00645829"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174EB3" w14:textId="77777777" w:rsidR="000A32C7" w:rsidRDefault="000A32C7" w:rsidP="00C336C5">
      <w:pPr>
        <w:spacing w:after="0" w:line="240" w:lineRule="auto"/>
      </w:pPr>
      <w:r>
        <w:separator/>
      </w:r>
    </w:p>
  </w:endnote>
  <w:endnote w:type="continuationSeparator" w:id="0">
    <w:p w14:paraId="5FCAB03F" w14:textId="77777777" w:rsidR="000A32C7" w:rsidRDefault="000A32C7" w:rsidP="00C336C5">
      <w:pPr>
        <w:spacing w:after="0" w:line="240" w:lineRule="auto"/>
      </w:pPr>
      <w:r>
        <w:continuationSeparator/>
      </w:r>
    </w:p>
  </w:endnote>
  <w:endnote w:type="continuationNotice" w:id="1">
    <w:p w14:paraId="6D516C38" w14:textId="77777777" w:rsidR="000A32C7" w:rsidRDefault="000A32C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5DDE7" w14:textId="77777777" w:rsidR="000A32C7" w:rsidRDefault="000A32C7" w:rsidP="00C336C5">
      <w:pPr>
        <w:bidi/>
        <w:spacing w:after="0" w:line="240" w:lineRule="auto"/>
      </w:pPr>
      <w:r>
        <w:separator/>
      </w:r>
    </w:p>
  </w:footnote>
  <w:footnote w:type="continuationSeparator" w:id="0">
    <w:p w14:paraId="54AE4E29" w14:textId="77777777" w:rsidR="000A32C7" w:rsidRDefault="000A32C7" w:rsidP="00C336C5">
      <w:pPr>
        <w:spacing w:after="0" w:line="240" w:lineRule="auto"/>
      </w:pPr>
      <w:r>
        <w:continuationSeparator/>
      </w:r>
    </w:p>
  </w:footnote>
  <w:footnote w:type="continuationNotice" w:id="1">
    <w:p w14:paraId="2561D1DD" w14:textId="77777777" w:rsidR="000A32C7" w:rsidRDefault="000A32C7">
      <w:pPr>
        <w:spacing w:after="0" w:line="240" w:lineRule="auto"/>
      </w:pPr>
    </w:p>
  </w:footnote>
  <w:footnote w:id="2">
    <w:p w14:paraId="3E6994F7" w14:textId="77777777" w:rsidR="00A33B4A" w:rsidRPr="00DE53E8" w:rsidRDefault="00A33B4A" w:rsidP="00A33B4A">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هداية المسترشدين،ج2،ص525.</w:t>
      </w:r>
    </w:p>
  </w:footnote>
  <w:footnote w:id="3">
    <w:p w14:paraId="7384985A" w14:textId="77777777" w:rsidR="00A33B4A" w:rsidRPr="00DE53E8" w:rsidRDefault="00A33B4A" w:rsidP="00A33B4A">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مقالات الأُصول،ج1،ص415.</w:t>
      </w:r>
    </w:p>
  </w:footnote>
  <w:footnote w:id="4">
    <w:p w14:paraId="40D59F9E" w14:textId="77777777" w:rsidR="00A33B4A" w:rsidRPr="00DE53E8" w:rsidRDefault="00A33B4A" w:rsidP="00A33B4A">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أجود التقريرات،ج1،ص436.</w:t>
      </w:r>
    </w:p>
  </w:footnote>
  <w:footnote w:id="5">
    <w:p w14:paraId="5E595207" w14:textId="77777777" w:rsidR="00A33B4A" w:rsidRPr="00DE53E8" w:rsidRDefault="00A33B4A" w:rsidP="00A33B4A">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محاضرات في أُصول الفقه،ج4،ص282 و 283 ـ مناهج الوصول،ج2،ص223 و 224.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6C9B046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A33B4A">
                            <w:rPr>
                              <w:rFonts w:cs="B Mehr" w:hint="cs"/>
                              <w:rtl/>
                              <w:lang w:bidi="fa-IR"/>
                            </w:rPr>
                            <w:t>دو</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A33B4A">
                            <w:rPr>
                              <w:rFonts w:cs="B Mehr" w:hint="cs"/>
                              <w:rtl/>
                              <w:lang w:bidi="fa-IR"/>
                            </w:rPr>
                            <w:t>22</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6C9B046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A33B4A">
                      <w:rPr>
                        <w:rFonts w:cs="B Mehr" w:hint="cs"/>
                        <w:rtl/>
                        <w:lang w:bidi="fa-IR"/>
                      </w:rPr>
                      <w:t>دو</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A33B4A">
                      <w:rPr>
                        <w:rFonts w:cs="B Mehr" w:hint="cs"/>
                        <w:rtl/>
                        <w:lang w:bidi="fa-IR"/>
                      </w:rPr>
                      <w:t>22</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4090</TotalTime>
  <Pages>3</Pages>
  <Words>491</Words>
  <Characters>2805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1165</cp:revision>
  <cp:lastPrinted>2025-04-15T09:36:00Z</cp:lastPrinted>
  <dcterms:created xsi:type="dcterms:W3CDTF">2022-10-16T08:36:00Z</dcterms:created>
  <dcterms:modified xsi:type="dcterms:W3CDTF">2025-05-12T09:30:00Z</dcterms:modified>
</cp:coreProperties>
</file>