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F719A" w14:textId="77777777" w:rsidR="00645829" w:rsidRPr="00C27AEE" w:rsidRDefault="00645829" w:rsidP="0064582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07361DA1" w14:textId="77777777" w:rsidR="00645829" w:rsidRDefault="00645829" w:rsidP="00645829">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21B668E" w14:textId="77777777" w:rsidR="00645829" w:rsidRDefault="00645829" w:rsidP="00645829">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925</w:t>
      </w:r>
    </w:p>
    <w:bookmarkEnd w:id="0"/>
    <w:p w14:paraId="303A30DA" w14:textId="77777777" w:rsidR="00645829" w:rsidRDefault="00645829" w:rsidP="00645829">
      <w:pPr>
        <w:widowControl w:val="0"/>
        <w:bidi/>
        <w:spacing w:before="240" w:line="247" w:lineRule="auto"/>
        <w:ind w:firstLine="289"/>
        <w:jc w:val="both"/>
        <w:rPr>
          <w:rFonts w:ascii="Amiri" w:hAnsi="Amiri" w:cs="Amiri"/>
          <w:b/>
          <w:bCs/>
          <w:sz w:val="24"/>
          <w:szCs w:val="24"/>
          <w:rtl/>
          <w:lang w:bidi="fa-IR"/>
        </w:rPr>
      </w:pPr>
    </w:p>
    <w:p w14:paraId="4370D7D0" w14:textId="77777777" w:rsidR="00645829" w:rsidRDefault="00645829" w:rsidP="00645829">
      <w:pPr>
        <w:widowControl w:val="0"/>
        <w:bidi/>
        <w:spacing w:before="240" w:line="254" w:lineRule="auto"/>
        <w:ind w:firstLine="289"/>
        <w:jc w:val="both"/>
        <w:rPr>
          <w:rFonts w:cs="2  Mitra"/>
          <w:sz w:val="28"/>
          <w:szCs w:val="28"/>
          <w:rtl/>
          <w:lang w:bidi="fa-IR"/>
        </w:rPr>
      </w:pPr>
      <w:r>
        <w:rPr>
          <w:rFonts w:cs="2  Mitra" w:hint="cs"/>
          <w:sz w:val="28"/>
          <w:szCs w:val="28"/>
          <w:rtl/>
          <w:lang w:bidi="fa-IR"/>
        </w:rPr>
        <w:t>در اشکال ششم بر استدلالات مذکور در کلام صاحب هدایه برای اثبات خروج غايت از مغیّی، گفتيم که «</w:t>
      </w:r>
      <w:r w:rsidRPr="00FB742C">
        <w:rPr>
          <w:rFonts w:cs="Abz-2 (Badr)" w:hint="cs"/>
          <w:sz w:val="28"/>
          <w:szCs w:val="28"/>
          <w:rtl/>
          <w:lang w:bidi="fa-IR"/>
        </w:rPr>
        <w:t>اصالة الحقيقة</w:t>
      </w:r>
      <w:r>
        <w:rPr>
          <w:rFonts w:cs="2  Mitra" w:hint="cs"/>
          <w:sz w:val="28"/>
          <w:szCs w:val="28"/>
          <w:rtl/>
          <w:lang w:bidi="fa-IR"/>
        </w:rPr>
        <w:t xml:space="preserve">» سبب کشف از «مراد استعمالی» است، نه اين که کاشف از «موضوع له» لفظ باشد. </w:t>
      </w:r>
    </w:p>
    <w:p w14:paraId="5B141E61" w14:textId="77777777" w:rsidR="00645829" w:rsidRDefault="00645829" w:rsidP="00645829">
      <w:pPr>
        <w:widowControl w:val="0"/>
        <w:bidi/>
        <w:spacing w:before="240" w:line="254" w:lineRule="auto"/>
        <w:ind w:firstLine="289"/>
        <w:jc w:val="both"/>
        <w:rPr>
          <w:rFonts w:cs="2  Mitra"/>
          <w:sz w:val="28"/>
          <w:szCs w:val="28"/>
          <w:rtl/>
          <w:lang w:bidi="fa-IR"/>
        </w:rPr>
      </w:pPr>
      <w:r>
        <w:rPr>
          <w:rFonts w:cs="2  Mitra" w:hint="cs"/>
          <w:sz w:val="28"/>
          <w:szCs w:val="28"/>
          <w:rtl/>
          <w:lang w:bidi="fa-IR"/>
        </w:rPr>
        <w:t>اشکال ديگر تمسّک به «</w:t>
      </w:r>
      <w:r w:rsidRPr="00FB742C">
        <w:rPr>
          <w:rFonts w:cs="Abz-2 (Badr)" w:hint="cs"/>
          <w:sz w:val="28"/>
          <w:szCs w:val="28"/>
          <w:rtl/>
          <w:lang w:bidi="fa-IR"/>
        </w:rPr>
        <w:t>اصالة الحقيقة</w:t>
      </w:r>
      <w:r>
        <w:rPr>
          <w:rFonts w:cs="2  Mitra" w:hint="cs"/>
          <w:sz w:val="28"/>
          <w:szCs w:val="28"/>
          <w:rtl/>
          <w:lang w:bidi="fa-IR"/>
        </w:rPr>
        <w:t>» برای کشف از موضوع له اين است که اشتراک لفظی، مخالف با استعمال حقیقی نیست، هرچند تعيين هر کدام از دو معنای موضوع لهما، نيازمند قرینه باشد.</w:t>
      </w:r>
    </w:p>
    <w:p w14:paraId="2DDE4495" w14:textId="77777777" w:rsidR="00645829" w:rsidRDefault="00645829" w:rsidP="00645829">
      <w:pPr>
        <w:widowControl w:val="0"/>
        <w:bidi/>
        <w:spacing w:before="240" w:line="254" w:lineRule="auto"/>
        <w:ind w:firstLine="289"/>
        <w:jc w:val="both"/>
        <w:rPr>
          <w:rFonts w:cs="2  Mitra"/>
          <w:sz w:val="28"/>
          <w:szCs w:val="28"/>
          <w:rtl/>
          <w:lang w:bidi="fa-IR"/>
        </w:rPr>
      </w:pPr>
      <w:bookmarkStart w:id="1" w:name="_Hlk197767882"/>
      <w:r>
        <w:rPr>
          <w:rFonts w:cs="2  Mitra" w:hint="cs"/>
          <w:sz w:val="28"/>
          <w:szCs w:val="28"/>
          <w:rtl/>
          <w:lang w:bidi="fa-IR"/>
        </w:rPr>
        <w:t>و نيز قدر مشترک بين دخول غايت در مغيّی و خروج آن از مغيّی، با خروج غايت از مغيّی تحقق نمی</w:t>
      </w:r>
      <w:r>
        <w:rPr>
          <w:rFonts w:cs="2  Mitra"/>
          <w:sz w:val="28"/>
          <w:szCs w:val="28"/>
          <w:rtl/>
          <w:lang w:bidi="fa-IR"/>
        </w:rPr>
        <w:softHyphen/>
      </w:r>
      <w:r>
        <w:rPr>
          <w:rFonts w:cs="2  Mitra" w:hint="cs"/>
          <w:sz w:val="28"/>
          <w:szCs w:val="28"/>
          <w:rtl/>
          <w:lang w:bidi="fa-IR"/>
        </w:rPr>
        <w:t>یابد، زيرا چنانچه غايت وضعاً داخل در مغیّی باشد، مغیّی به نسبت به غايت به شرط شیء لحاظ شده است و اگر خارج از آن باشد، مغیّی به نسبت به غايت به شرط لا لحاظ گرديده است، و معلوم است که نسبت بين اين دو مورد، تباين است و لفظ وقتی می</w:t>
      </w:r>
      <w:r>
        <w:rPr>
          <w:rFonts w:cs="2  Mitra"/>
          <w:sz w:val="28"/>
          <w:szCs w:val="28"/>
          <w:rtl/>
          <w:lang w:bidi="fa-IR"/>
        </w:rPr>
        <w:softHyphen/>
      </w:r>
      <w:r>
        <w:rPr>
          <w:rFonts w:cs="2  Mitra" w:hint="cs"/>
          <w:sz w:val="28"/>
          <w:szCs w:val="28"/>
          <w:rtl/>
          <w:lang w:bidi="fa-IR"/>
        </w:rPr>
        <w:t>تواند به هر دوی آنان دلالت وضعی داشته باشد که در برابر قدر جامع آنان وضع شده باشد که در اين صورت نيز تعيين هر کدام از آن دو به مانند اشتراک لفظی، نيازمند قرینه خواهد بود.</w:t>
      </w:r>
    </w:p>
    <w:bookmarkEnd w:id="1"/>
    <w:p w14:paraId="42F9DDB2" w14:textId="77777777" w:rsidR="00645829" w:rsidRDefault="00645829" w:rsidP="00645829">
      <w:pPr>
        <w:widowControl w:val="0"/>
        <w:bidi/>
        <w:spacing w:before="240" w:line="254" w:lineRule="auto"/>
        <w:ind w:firstLine="289"/>
        <w:jc w:val="both"/>
        <w:rPr>
          <w:rFonts w:cs="2  Mitra"/>
          <w:sz w:val="28"/>
          <w:szCs w:val="28"/>
          <w:rtl/>
          <w:lang w:bidi="fa-IR"/>
        </w:rPr>
      </w:pPr>
      <w:r>
        <w:rPr>
          <w:rFonts w:cs="2  Mitra" w:hint="cs"/>
          <w:sz w:val="28"/>
          <w:szCs w:val="28"/>
          <w:rtl/>
          <w:lang w:bidi="fa-IR"/>
        </w:rPr>
        <w:t>مرحوم شيخ نيز در خصوص اين مسأله می</w:t>
      </w:r>
      <w:r>
        <w:rPr>
          <w:rFonts w:cs="2  Mitra"/>
          <w:sz w:val="28"/>
          <w:szCs w:val="28"/>
          <w:rtl/>
          <w:lang w:bidi="fa-IR"/>
        </w:rPr>
        <w:softHyphen/>
      </w:r>
      <w:r>
        <w:rPr>
          <w:rFonts w:cs="2  Mitra" w:hint="cs"/>
          <w:sz w:val="28"/>
          <w:szCs w:val="28"/>
          <w:rtl/>
          <w:lang w:bidi="fa-IR"/>
        </w:rPr>
        <w:t>فرماید: به اعتبار لفظ «نهايت» می</w:t>
      </w:r>
      <w:r>
        <w:rPr>
          <w:rFonts w:cs="2  Mitra"/>
          <w:sz w:val="28"/>
          <w:szCs w:val="28"/>
          <w:rtl/>
          <w:lang w:bidi="fa-IR"/>
        </w:rPr>
        <w:softHyphen/>
      </w:r>
      <w:r>
        <w:rPr>
          <w:rFonts w:cs="2  Mitra" w:hint="cs"/>
          <w:sz w:val="28"/>
          <w:szCs w:val="28"/>
          <w:rtl/>
          <w:lang w:bidi="fa-IR"/>
        </w:rPr>
        <w:t>توان ادعا کرد که مراد از غایت رسيدن به نقطه</w:t>
      </w:r>
      <w:r>
        <w:rPr>
          <w:rFonts w:cs="2  Mitra"/>
          <w:sz w:val="28"/>
          <w:szCs w:val="28"/>
          <w:rtl/>
          <w:lang w:bidi="fa-IR"/>
        </w:rPr>
        <w:softHyphen/>
      </w:r>
      <w:r>
        <w:rPr>
          <w:rFonts w:cs="2  Mitra" w:hint="cs"/>
          <w:sz w:val="28"/>
          <w:szCs w:val="28"/>
          <w:rtl/>
          <w:lang w:bidi="fa-IR"/>
        </w:rPr>
        <w:t>ای معلوم است، زیرا مفهوم «نهایت» از جزء آخر چیزی که دارای استمرار است انتزاع می</w:t>
      </w:r>
      <w:r>
        <w:rPr>
          <w:rFonts w:cs="2  Mitra"/>
          <w:sz w:val="28"/>
          <w:szCs w:val="28"/>
          <w:rtl/>
          <w:lang w:bidi="fa-IR"/>
        </w:rPr>
        <w:softHyphen/>
      </w:r>
      <w:r>
        <w:rPr>
          <w:rFonts w:cs="2  Mitra" w:hint="cs"/>
          <w:sz w:val="28"/>
          <w:szCs w:val="28"/>
          <w:rtl/>
          <w:lang w:bidi="fa-IR"/>
        </w:rPr>
        <w:t>گردد، همان گونه که مفهوم «ابتداء» از جزء اول آن منتزع می</w:t>
      </w:r>
      <w:r>
        <w:rPr>
          <w:rFonts w:cs="2  Mitra"/>
          <w:sz w:val="28"/>
          <w:szCs w:val="28"/>
          <w:rtl/>
          <w:lang w:bidi="fa-IR"/>
        </w:rPr>
        <w:softHyphen/>
      </w:r>
      <w:r>
        <w:rPr>
          <w:rFonts w:cs="2  Mitra" w:hint="cs"/>
          <w:sz w:val="28"/>
          <w:szCs w:val="28"/>
          <w:rtl/>
          <w:lang w:bidi="fa-IR"/>
        </w:rPr>
        <w:t>شود. اما اين مطلب در خصوص نزاع در استعمالات الفاظی مثل «حتی» و «إلی» به عنوان اداوات نهايت و غایت فایده</w:t>
      </w:r>
      <w:r>
        <w:rPr>
          <w:rFonts w:cs="2  Mitra"/>
          <w:sz w:val="28"/>
          <w:szCs w:val="28"/>
          <w:rtl/>
          <w:lang w:bidi="fa-IR"/>
        </w:rPr>
        <w:softHyphen/>
      </w:r>
      <w:r>
        <w:rPr>
          <w:rFonts w:cs="2  Mitra" w:hint="cs"/>
          <w:sz w:val="28"/>
          <w:szCs w:val="28"/>
          <w:rtl/>
          <w:lang w:bidi="fa-IR"/>
        </w:rPr>
        <w:t>ای نمی</w:t>
      </w:r>
      <w:r>
        <w:rPr>
          <w:rFonts w:cs="2  Mitra"/>
          <w:sz w:val="28"/>
          <w:szCs w:val="28"/>
          <w:rtl/>
          <w:lang w:bidi="fa-IR"/>
        </w:rPr>
        <w:softHyphen/>
      </w:r>
      <w:r>
        <w:rPr>
          <w:rFonts w:cs="2  Mitra" w:hint="cs"/>
          <w:sz w:val="28"/>
          <w:szCs w:val="28"/>
          <w:rtl/>
          <w:lang w:bidi="fa-IR"/>
        </w:rPr>
        <w:t>بخشد، زیرا نهايت حقیقی چیزی نیست که بتوان در آن نزاع کرد، بلکه این اداوات اشاره به نهایت اعتباری دارند نه نهایت حقیقی و استعمالات آنها نوعاً تسامحی است که سبب می</w:t>
      </w:r>
      <w:r>
        <w:rPr>
          <w:rFonts w:cs="2  Mitra"/>
          <w:sz w:val="28"/>
          <w:szCs w:val="28"/>
          <w:rtl/>
          <w:lang w:bidi="fa-IR"/>
        </w:rPr>
        <w:softHyphen/>
      </w:r>
      <w:r>
        <w:rPr>
          <w:rFonts w:cs="2  Mitra" w:hint="cs"/>
          <w:sz w:val="28"/>
          <w:szCs w:val="28"/>
          <w:rtl/>
          <w:lang w:bidi="fa-IR"/>
        </w:rPr>
        <w:t>شود مجال برای نزاع ايجاد شود، هرچند می</w:t>
      </w:r>
      <w:r>
        <w:rPr>
          <w:rFonts w:cs="2  Mitra"/>
          <w:sz w:val="28"/>
          <w:szCs w:val="28"/>
          <w:rtl/>
          <w:lang w:bidi="fa-IR"/>
        </w:rPr>
        <w:softHyphen/>
      </w:r>
      <w:r>
        <w:rPr>
          <w:rFonts w:cs="2  Mitra" w:hint="cs"/>
          <w:sz w:val="28"/>
          <w:szCs w:val="28"/>
          <w:rtl/>
          <w:lang w:bidi="fa-IR"/>
        </w:rPr>
        <w:t>توان ادعا نمود که اظهر خروج مدخول این ادوات از آن چيزی است که ما قبل آنهاست.</w:t>
      </w:r>
    </w:p>
    <w:p w14:paraId="06BAE024" w14:textId="77777777" w:rsidR="00645829" w:rsidRDefault="00645829" w:rsidP="00645829">
      <w:pPr>
        <w:widowControl w:val="0"/>
        <w:bidi/>
        <w:spacing w:before="240" w:line="254" w:lineRule="auto"/>
        <w:ind w:firstLine="289"/>
        <w:jc w:val="both"/>
        <w:rPr>
          <w:rFonts w:cs="Abz-2 (Badr)"/>
          <w:sz w:val="28"/>
          <w:szCs w:val="28"/>
          <w:rtl/>
          <w:lang w:bidi="fa-IR"/>
        </w:rPr>
      </w:pPr>
      <w:r w:rsidRPr="00D2467E">
        <w:rPr>
          <w:rFonts w:cs="2  Mitra" w:hint="cs"/>
          <w:spacing w:val="-2"/>
          <w:sz w:val="28"/>
          <w:szCs w:val="28"/>
          <w:rtl/>
          <w:lang w:bidi="fa-IR"/>
        </w:rPr>
        <w:t>بله، از آنجا که استعمال «إلی» و «حتی» تسامحی است، می</w:t>
      </w:r>
      <w:r w:rsidRPr="00D2467E">
        <w:rPr>
          <w:rFonts w:cs="2  Mitra"/>
          <w:spacing w:val="-2"/>
          <w:sz w:val="28"/>
          <w:szCs w:val="28"/>
          <w:rtl/>
          <w:lang w:bidi="fa-IR"/>
        </w:rPr>
        <w:softHyphen/>
      </w:r>
      <w:r w:rsidRPr="00D2467E">
        <w:rPr>
          <w:rFonts w:cs="2  Mitra" w:hint="cs"/>
          <w:spacing w:val="-2"/>
          <w:sz w:val="28"/>
          <w:szCs w:val="28"/>
          <w:rtl/>
          <w:lang w:bidi="fa-IR"/>
        </w:rPr>
        <w:t>توان در برخی از موارد به واسطه وجود قرائن استظهار کرد که مدخول آنها داخل در آن چيزی است که ما قبل آن است، اما اگر قرینه</w:t>
      </w:r>
      <w:r w:rsidRPr="00D2467E">
        <w:rPr>
          <w:rFonts w:cs="2  Mitra"/>
          <w:spacing w:val="-2"/>
          <w:sz w:val="28"/>
          <w:szCs w:val="28"/>
          <w:rtl/>
          <w:lang w:bidi="fa-IR"/>
        </w:rPr>
        <w:softHyphen/>
      </w:r>
      <w:r w:rsidRPr="00D2467E">
        <w:rPr>
          <w:rFonts w:cs="2  Mitra" w:hint="cs"/>
          <w:spacing w:val="-2"/>
          <w:sz w:val="28"/>
          <w:szCs w:val="28"/>
          <w:rtl/>
          <w:lang w:bidi="fa-IR"/>
        </w:rPr>
        <w:t xml:space="preserve">ای وجود نداشته باشد، باید در هر مورد به مقتضای اصل </w:t>
      </w:r>
      <w:r w:rsidRPr="00D2467E">
        <w:rPr>
          <w:rFonts w:cs="2  Mitra" w:hint="cs"/>
          <w:spacing w:val="-2"/>
          <w:sz w:val="28"/>
          <w:szCs w:val="28"/>
          <w:rtl/>
          <w:lang w:bidi="fa-IR"/>
        </w:rPr>
        <w:lastRenderedPageBreak/>
        <w:t>عمل نمود و نمی</w:t>
      </w:r>
      <w:r w:rsidRPr="00D2467E">
        <w:rPr>
          <w:rFonts w:cs="2  Mitra"/>
          <w:spacing w:val="-2"/>
          <w:sz w:val="28"/>
          <w:szCs w:val="28"/>
          <w:rtl/>
          <w:lang w:bidi="fa-IR"/>
        </w:rPr>
        <w:softHyphen/>
      </w:r>
      <w:r w:rsidRPr="00D2467E">
        <w:rPr>
          <w:rFonts w:cs="2  Mitra" w:hint="cs"/>
          <w:spacing w:val="-2"/>
          <w:sz w:val="28"/>
          <w:szCs w:val="28"/>
          <w:rtl/>
          <w:lang w:bidi="fa-IR"/>
        </w:rPr>
        <w:t xml:space="preserve">توان به «اصل عدم دخول» تکيه کرد، زیرا اگر مراد از آن عدم دخول غایت در </w:t>
      </w:r>
      <w:r>
        <w:rPr>
          <w:rFonts w:cs="2  Mitra" w:hint="cs"/>
          <w:spacing w:val="-2"/>
          <w:sz w:val="28"/>
          <w:szCs w:val="28"/>
          <w:rtl/>
          <w:lang w:bidi="fa-IR"/>
        </w:rPr>
        <w:t>مغيّی</w:t>
      </w:r>
      <w:r w:rsidRPr="00D2467E">
        <w:rPr>
          <w:rFonts w:cs="2  Mitra" w:hint="cs"/>
          <w:spacing w:val="-2"/>
          <w:sz w:val="28"/>
          <w:szCs w:val="28"/>
          <w:rtl/>
          <w:lang w:bidi="fa-IR"/>
        </w:rPr>
        <w:t xml:space="preserve"> از حيث موضوعی باشد، اين مطلب وجداناً معلوم است، و اگر منظور عدم دخول از حيث حکمی باشد، اين مطلب چیزی است که مقتضای اصل در آن به حسب مورد متفاوت است، و با عدم علم به آن</w:t>
      </w:r>
      <w:r>
        <w:rPr>
          <w:rFonts w:cs="2  Mitra" w:hint="cs"/>
          <w:spacing w:val="-2"/>
          <w:sz w:val="28"/>
          <w:szCs w:val="28"/>
          <w:rtl/>
          <w:lang w:bidi="fa-IR"/>
        </w:rPr>
        <w:t>،</w:t>
      </w:r>
      <w:r w:rsidRPr="00D2467E">
        <w:rPr>
          <w:rFonts w:cs="2  Mitra" w:hint="cs"/>
          <w:spacing w:val="-2"/>
          <w:sz w:val="28"/>
          <w:szCs w:val="28"/>
          <w:rtl/>
          <w:lang w:bidi="fa-IR"/>
        </w:rPr>
        <w:t xml:space="preserve"> ظاهر این است که به مقتضای «</w:t>
      </w:r>
      <w:r w:rsidRPr="00D2467E">
        <w:rPr>
          <w:rFonts w:cs="Abz-2 (Badr)" w:hint="cs"/>
          <w:spacing w:val="-2"/>
          <w:sz w:val="28"/>
          <w:szCs w:val="28"/>
          <w:rtl/>
          <w:lang w:bidi="fa-IR"/>
        </w:rPr>
        <w:t>اصالة الحقيقة</w:t>
      </w:r>
      <w:r w:rsidRPr="00D2467E">
        <w:rPr>
          <w:rFonts w:cs="2  Mitra" w:hint="cs"/>
          <w:spacing w:val="-2"/>
          <w:sz w:val="28"/>
          <w:szCs w:val="28"/>
          <w:rtl/>
          <w:lang w:bidi="fa-IR"/>
        </w:rPr>
        <w:t>» حکم به دخول می</w:t>
      </w:r>
      <w:r w:rsidRPr="00D2467E">
        <w:rPr>
          <w:rFonts w:cs="2  Mitra"/>
          <w:spacing w:val="-2"/>
          <w:sz w:val="28"/>
          <w:szCs w:val="28"/>
          <w:rtl/>
          <w:lang w:bidi="fa-IR"/>
        </w:rPr>
        <w:softHyphen/>
      </w:r>
      <w:r w:rsidRPr="00D2467E">
        <w:rPr>
          <w:rFonts w:cs="2  Mitra" w:hint="cs"/>
          <w:spacing w:val="-2"/>
          <w:sz w:val="28"/>
          <w:szCs w:val="28"/>
          <w:rtl/>
          <w:lang w:bidi="fa-IR"/>
        </w:rPr>
        <w:t>شود مشروط بر این که ادعا شود که ادات غایت برای نهایت حقیقی وضع شده</w:t>
      </w:r>
      <w:r w:rsidRPr="00D2467E">
        <w:rPr>
          <w:rFonts w:cs="2  Mitra"/>
          <w:spacing w:val="-2"/>
          <w:sz w:val="28"/>
          <w:szCs w:val="28"/>
          <w:rtl/>
          <w:lang w:bidi="fa-IR"/>
        </w:rPr>
        <w:softHyphen/>
      </w:r>
      <w:r w:rsidRPr="00D2467E">
        <w:rPr>
          <w:rFonts w:cs="2  Mitra" w:hint="cs"/>
          <w:spacing w:val="-2"/>
          <w:sz w:val="28"/>
          <w:szCs w:val="28"/>
          <w:rtl/>
          <w:lang w:bidi="fa-IR"/>
        </w:rPr>
        <w:t>اند که ظاهر نيز همين است.</w:t>
      </w:r>
      <w:r w:rsidRPr="00D606E9">
        <w:rPr>
          <w:rStyle w:val="FootnoteReference"/>
          <w:rFonts w:cs="2  Mitra"/>
          <w:sz w:val="28"/>
          <w:szCs w:val="28"/>
          <w:rtl/>
          <w:lang w:bidi="fa-IR"/>
        </w:rPr>
        <w:footnoteReference w:id="2"/>
      </w:r>
      <w:r w:rsidRPr="003A6553">
        <w:rPr>
          <w:rFonts w:cs="Abz-2 (Badr)" w:hint="cs"/>
          <w:sz w:val="28"/>
          <w:szCs w:val="28"/>
          <w:rtl/>
          <w:lang w:bidi="fa-IR"/>
        </w:rPr>
        <w:t>‏</w:t>
      </w:r>
    </w:p>
    <w:p w14:paraId="4A357CD3" w14:textId="77777777" w:rsidR="00645829" w:rsidRDefault="00645829" w:rsidP="00645829">
      <w:pPr>
        <w:widowControl w:val="0"/>
        <w:bidi/>
        <w:spacing w:before="240" w:line="259" w:lineRule="auto"/>
        <w:ind w:firstLine="289"/>
        <w:jc w:val="both"/>
        <w:rPr>
          <w:rFonts w:cs="2  Mitra"/>
          <w:spacing w:val="-2"/>
          <w:sz w:val="28"/>
          <w:szCs w:val="28"/>
          <w:rtl/>
          <w:lang w:bidi="fa-IR"/>
        </w:rPr>
      </w:pPr>
      <w:bookmarkStart w:id="2" w:name="_Hlk197769404"/>
      <w:r w:rsidRPr="00D2467E">
        <w:rPr>
          <w:rFonts w:cs="2  Mitra" w:hint="cs"/>
          <w:spacing w:val="-2"/>
          <w:sz w:val="28"/>
          <w:szCs w:val="28"/>
          <w:rtl/>
          <w:lang w:bidi="fa-IR"/>
        </w:rPr>
        <w:t xml:space="preserve">اما اشکال اين مدعا اين است که </w:t>
      </w:r>
      <w:r>
        <w:rPr>
          <w:rFonts w:cs="2  Mitra" w:hint="cs"/>
          <w:spacing w:val="-2"/>
          <w:sz w:val="28"/>
          <w:szCs w:val="28"/>
          <w:rtl/>
          <w:lang w:bidi="fa-IR"/>
        </w:rPr>
        <w:t>وجه وجود نزاع در مسأله، استعمال تسامحی ادات غايت نيست، بلکه جهت آن اين است که چون آنچه که مدخول ادات غايت واقع می</w:t>
      </w:r>
      <w:r>
        <w:rPr>
          <w:rFonts w:cs="2  Mitra"/>
          <w:spacing w:val="-2"/>
          <w:sz w:val="28"/>
          <w:szCs w:val="28"/>
          <w:rtl/>
          <w:lang w:bidi="fa-IR"/>
        </w:rPr>
        <w:softHyphen/>
      </w:r>
      <w:r>
        <w:rPr>
          <w:rFonts w:cs="2  Mitra" w:hint="cs"/>
          <w:spacing w:val="-2"/>
          <w:sz w:val="28"/>
          <w:szCs w:val="28"/>
          <w:rtl/>
          <w:lang w:bidi="fa-IR"/>
        </w:rPr>
        <w:t>شود نوعاً اموری هستند که دارای اجزاء می</w:t>
      </w:r>
      <w:r>
        <w:rPr>
          <w:rFonts w:cs="2  Mitra"/>
          <w:spacing w:val="-2"/>
          <w:sz w:val="28"/>
          <w:szCs w:val="28"/>
          <w:rtl/>
          <w:lang w:bidi="fa-IR"/>
        </w:rPr>
        <w:softHyphen/>
      </w:r>
      <w:r>
        <w:rPr>
          <w:rFonts w:cs="2  Mitra" w:hint="cs"/>
          <w:spacing w:val="-2"/>
          <w:sz w:val="28"/>
          <w:szCs w:val="28"/>
          <w:rtl/>
          <w:lang w:bidi="fa-IR"/>
        </w:rPr>
        <w:t>باشند، تعيين اين که آن مدخول به چه نحوی توسط شارع يا هر متکلم ديگری لحاظ شده است و آيا لحاظ انها به نحو بسيط بوده يا به نحو ذات اجزاء، محل خلاف و نزاع واقع شده است.</w:t>
      </w:r>
    </w:p>
    <w:p w14:paraId="010289E4" w14:textId="77777777" w:rsidR="00645829" w:rsidRDefault="00645829" w:rsidP="00645829">
      <w:pPr>
        <w:widowControl w:val="0"/>
        <w:bidi/>
        <w:spacing w:before="240" w:line="259" w:lineRule="auto"/>
        <w:ind w:firstLine="289"/>
        <w:jc w:val="both"/>
        <w:rPr>
          <w:rFonts w:cs="2  Mitra"/>
          <w:spacing w:val="-2"/>
          <w:sz w:val="28"/>
          <w:szCs w:val="28"/>
          <w:rtl/>
          <w:lang w:bidi="fa-IR"/>
        </w:rPr>
      </w:pPr>
      <w:r>
        <w:rPr>
          <w:rFonts w:cs="2  Mitra" w:hint="cs"/>
          <w:spacing w:val="-2"/>
          <w:sz w:val="28"/>
          <w:szCs w:val="28"/>
          <w:rtl/>
          <w:lang w:bidi="fa-IR"/>
        </w:rPr>
        <w:t>فلذا می</w:t>
      </w:r>
      <w:r>
        <w:rPr>
          <w:rFonts w:cs="2  Mitra"/>
          <w:spacing w:val="-2"/>
          <w:sz w:val="28"/>
          <w:szCs w:val="28"/>
          <w:rtl/>
          <w:lang w:bidi="fa-IR"/>
        </w:rPr>
        <w:softHyphen/>
      </w:r>
      <w:r>
        <w:rPr>
          <w:rFonts w:cs="2  Mitra" w:hint="cs"/>
          <w:spacing w:val="-2"/>
          <w:sz w:val="28"/>
          <w:szCs w:val="28"/>
          <w:rtl/>
          <w:lang w:bidi="fa-IR"/>
        </w:rPr>
        <w:t>توان ادعا کرد که چون ـ همان گونه که مرحوم شيخ نيز فرموده</w:t>
      </w:r>
      <w:r>
        <w:rPr>
          <w:rFonts w:cs="2  Mitra"/>
          <w:spacing w:val="-2"/>
          <w:sz w:val="28"/>
          <w:szCs w:val="28"/>
          <w:rtl/>
          <w:lang w:bidi="fa-IR"/>
        </w:rPr>
        <w:softHyphen/>
      </w:r>
      <w:r>
        <w:rPr>
          <w:rFonts w:cs="2  Mitra" w:hint="cs"/>
          <w:spacing w:val="-2"/>
          <w:sz w:val="28"/>
          <w:szCs w:val="28"/>
          <w:rtl/>
          <w:lang w:bidi="fa-IR"/>
        </w:rPr>
        <w:t>اند ـ غايت و نهایت هر چیزی بر آخرین جزء آن صدق می</w:t>
      </w:r>
      <w:r>
        <w:rPr>
          <w:rFonts w:cs="2  Mitra"/>
          <w:spacing w:val="-2"/>
          <w:sz w:val="28"/>
          <w:szCs w:val="28"/>
          <w:rtl/>
          <w:lang w:bidi="fa-IR"/>
        </w:rPr>
        <w:softHyphen/>
      </w:r>
      <w:r>
        <w:rPr>
          <w:rFonts w:cs="2  Mitra" w:hint="cs"/>
          <w:spacing w:val="-2"/>
          <w:sz w:val="28"/>
          <w:szCs w:val="28"/>
          <w:rtl/>
          <w:lang w:bidi="fa-IR"/>
        </w:rPr>
        <w:t>کند و می</w:t>
      </w:r>
      <w:r>
        <w:rPr>
          <w:rFonts w:cs="2  Mitra"/>
          <w:spacing w:val="-2"/>
          <w:sz w:val="28"/>
          <w:szCs w:val="28"/>
          <w:rtl/>
          <w:lang w:bidi="fa-IR"/>
        </w:rPr>
        <w:softHyphen/>
      </w:r>
      <w:r>
        <w:rPr>
          <w:rFonts w:cs="2  Mitra" w:hint="cs"/>
          <w:spacing w:val="-2"/>
          <w:sz w:val="28"/>
          <w:szCs w:val="28"/>
          <w:rtl/>
          <w:lang w:bidi="fa-IR"/>
        </w:rPr>
        <w:t>توان گفت که نهایت «خط» يا «بصره» يا «روز»، آخرين جزء آنهاست، در جايی که چيزی به عنوان غايت موضوع يا متعلق حکم در نظر گرفته شده باشد نيز، آن چيز آخرین جزء موضوع یا متعلق است، هرچند امکان نزاع در اين که چه چيزی به عنوان غايت مد نظر بوده است، وجود دارد.</w:t>
      </w:r>
    </w:p>
    <w:p w14:paraId="59709E22" w14:textId="77777777" w:rsidR="00645829" w:rsidRPr="00C10F36" w:rsidRDefault="00645829" w:rsidP="00645829">
      <w:pPr>
        <w:widowControl w:val="0"/>
        <w:bidi/>
        <w:spacing w:before="240" w:line="259" w:lineRule="auto"/>
        <w:ind w:firstLine="289"/>
        <w:jc w:val="both"/>
        <w:rPr>
          <w:rFonts w:cs="2  Mitra"/>
          <w:sz w:val="28"/>
          <w:szCs w:val="28"/>
          <w:rtl/>
          <w:lang w:bidi="fa-IR"/>
        </w:rPr>
      </w:pPr>
      <w:r>
        <w:rPr>
          <w:rFonts w:cs="2  Mitra" w:hint="cs"/>
          <w:spacing w:val="-2"/>
          <w:sz w:val="28"/>
          <w:szCs w:val="28"/>
          <w:rtl/>
          <w:lang w:bidi="fa-IR"/>
        </w:rPr>
        <w:t>اما آنچه که ایشان در خصوص مقتضای اصل بیان کرده</w:t>
      </w:r>
      <w:r>
        <w:rPr>
          <w:rFonts w:cs="2  Mitra"/>
          <w:spacing w:val="-2"/>
          <w:sz w:val="28"/>
          <w:szCs w:val="28"/>
          <w:rtl/>
          <w:lang w:bidi="fa-IR"/>
        </w:rPr>
        <w:softHyphen/>
      </w:r>
      <w:r>
        <w:rPr>
          <w:rFonts w:cs="2  Mitra" w:hint="cs"/>
          <w:spacing w:val="-2"/>
          <w:sz w:val="28"/>
          <w:szCs w:val="28"/>
          <w:rtl/>
          <w:lang w:bidi="fa-IR"/>
        </w:rPr>
        <w:t>اند نيز دارای اشکالاتی است</w:t>
      </w:r>
      <w:bookmarkEnd w:id="2"/>
      <w:r>
        <w:rPr>
          <w:rFonts w:cs="2  Mitra" w:hint="cs"/>
          <w:spacing w:val="-2"/>
          <w:sz w:val="28"/>
          <w:szCs w:val="28"/>
          <w:rtl/>
          <w:lang w:bidi="fa-IR"/>
        </w:rPr>
        <w:t xml:space="preserve"> که جلسه آينده به بيان آنها خواهيم پرداخت ان شاء الله.</w:t>
      </w:r>
    </w:p>
    <w:p w14:paraId="7D9979DE" w14:textId="26D41A3F" w:rsidR="001B24FC" w:rsidRPr="00645829" w:rsidRDefault="001B24FC" w:rsidP="00645829">
      <w:pPr>
        <w:rPr>
          <w:rtl/>
        </w:rPr>
      </w:pPr>
    </w:p>
    <w:sectPr w:rsidR="001B24FC" w:rsidRPr="00645829"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3D14D0" w14:textId="77777777" w:rsidR="00DD0E40" w:rsidRDefault="00DD0E40" w:rsidP="00C336C5">
      <w:pPr>
        <w:spacing w:after="0" w:line="240" w:lineRule="auto"/>
      </w:pPr>
      <w:r>
        <w:separator/>
      </w:r>
    </w:p>
  </w:endnote>
  <w:endnote w:type="continuationSeparator" w:id="0">
    <w:p w14:paraId="16A1D9CF" w14:textId="77777777" w:rsidR="00DD0E40" w:rsidRDefault="00DD0E40" w:rsidP="00C336C5">
      <w:pPr>
        <w:spacing w:after="0" w:line="240" w:lineRule="auto"/>
      </w:pPr>
      <w:r>
        <w:continuationSeparator/>
      </w:r>
    </w:p>
  </w:endnote>
  <w:endnote w:type="continuationNotice" w:id="1">
    <w:p w14:paraId="1F61E5E1" w14:textId="77777777" w:rsidR="00DD0E40" w:rsidRDefault="00DD0E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69EC5" w14:textId="77777777" w:rsidR="007C2DAA" w:rsidRDefault="007C2D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9E9EA" w14:textId="77777777" w:rsidR="007C2DAA" w:rsidRDefault="007C2D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CE8AA" w14:textId="77777777" w:rsidR="00DD0E40" w:rsidRDefault="00DD0E40" w:rsidP="00C336C5">
      <w:pPr>
        <w:bidi/>
        <w:spacing w:after="0" w:line="240" w:lineRule="auto"/>
      </w:pPr>
      <w:r>
        <w:separator/>
      </w:r>
    </w:p>
  </w:footnote>
  <w:footnote w:type="continuationSeparator" w:id="0">
    <w:p w14:paraId="5521E8F3" w14:textId="77777777" w:rsidR="00DD0E40" w:rsidRDefault="00DD0E40" w:rsidP="00C336C5">
      <w:pPr>
        <w:spacing w:after="0" w:line="240" w:lineRule="auto"/>
      </w:pPr>
      <w:r>
        <w:continuationSeparator/>
      </w:r>
    </w:p>
  </w:footnote>
  <w:footnote w:type="continuationNotice" w:id="1">
    <w:p w14:paraId="4751A5E7" w14:textId="77777777" w:rsidR="00DD0E40" w:rsidRDefault="00DD0E40">
      <w:pPr>
        <w:spacing w:after="0" w:line="240" w:lineRule="auto"/>
      </w:pPr>
    </w:p>
  </w:footnote>
  <w:footnote w:id="2">
    <w:p w14:paraId="506F61EF" w14:textId="77777777" w:rsidR="00645829" w:rsidRPr="00DE53E8" w:rsidRDefault="00645829" w:rsidP="00645829">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مطارح الأنظار،ج2،ص97 و 98.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0B94B" w14:textId="77777777" w:rsidR="007C2DAA" w:rsidRDefault="007C2D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1EDCC639"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4D0AFB">
                            <w:rPr>
                              <w:rFonts w:cs="B Mehr" w:hint="cs"/>
                              <w:rtl/>
                              <w:lang w:bidi="fa-IR"/>
                            </w:rPr>
                            <w:t>یک</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067CA">
                            <w:rPr>
                              <w:rFonts w:cs="B Mehr" w:hint="cs"/>
                              <w:rtl/>
                              <w:lang w:bidi="fa-IR"/>
                            </w:rPr>
                            <w:t>21</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1EDCC639"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4D0AFB">
                      <w:rPr>
                        <w:rFonts w:cs="B Mehr" w:hint="cs"/>
                        <w:rtl/>
                        <w:lang w:bidi="fa-IR"/>
                      </w:rPr>
                      <w:t>یک</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067CA">
                      <w:rPr>
                        <w:rFonts w:cs="B Mehr" w:hint="cs"/>
                        <w:rtl/>
                        <w:lang w:bidi="fa-IR"/>
                      </w:rPr>
                      <w:t>21</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81235" w14:textId="77777777" w:rsidR="007C2DAA" w:rsidRDefault="007C2DA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4089</TotalTime>
  <Pages>1</Pages>
  <Words>452</Words>
  <Characters>2580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1164</cp:revision>
  <cp:lastPrinted>2025-04-15T09:36:00Z</cp:lastPrinted>
  <dcterms:created xsi:type="dcterms:W3CDTF">2022-10-16T08:36:00Z</dcterms:created>
  <dcterms:modified xsi:type="dcterms:W3CDTF">2025-05-11T13:22:00Z</dcterms:modified>
</cp:coreProperties>
</file>