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886901" w14:textId="77777777" w:rsidR="00E46F9E" w:rsidRPr="00C27AEE" w:rsidRDefault="00E46F9E" w:rsidP="00E46F9E">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52314CEA" w14:textId="77777777" w:rsidR="00E46F9E" w:rsidRDefault="00E46F9E" w:rsidP="00E46F9E">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8608918" w14:textId="77777777" w:rsidR="00E46F9E" w:rsidRDefault="00E46F9E" w:rsidP="00E46F9E">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923</w:t>
      </w:r>
    </w:p>
    <w:bookmarkEnd w:id="0"/>
    <w:p w14:paraId="3A7840A0" w14:textId="77777777" w:rsidR="00E46F9E" w:rsidRDefault="00E46F9E" w:rsidP="00E46F9E">
      <w:pPr>
        <w:widowControl w:val="0"/>
        <w:bidi/>
        <w:spacing w:before="240" w:line="247" w:lineRule="auto"/>
        <w:ind w:firstLine="289"/>
        <w:jc w:val="both"/>
        <w:rPr>
          <w:rFonts w:ascii="Amiri" w:hAnsi="Amiri" w:cs="Amiri"/>
          <w:b/>
          <w:bCs/>
          <w:sz w:val="24"/>
          <w:szCs w:val="24"/>
          <w:rtl/>
          <w:lang w:bidi="fa-IR"/>
        </w:rPr>
      </w:pPr>
    </w:p>
    <w:p w14:paraId="32540AF9"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اقوال پنج</w:t>
      </w:r>
      <w:r>
        <w:rPr>
          <w:rFonts w:cs="2  Mitra"/>
          <w:sz w:val="28"/>
          <w:szCs w:val="28"/>
          <w:rtl/>
          <w:lang w:bidi="fa-IR"/>
        </w:rPr>
        <w:softHyphen/>
      </w:r>
      <w:r>
        <w:rPr>
          <w:rFonts w:cs="2  Mitra" w:hint="cs"/>
          <w:sz w:val="28"/>
          <w:szCs w:val="28"/>
          <w:rtl/>
          <w:lang w:bidi="fa-IR"/>
        </w:rPr>
        <w:t>گانه در خصوص دخول غايت در مغیّی را جلسه قبل مطرح کرديم.</w:t>
      </w:r>
    </w:p>
    <w:p w14:paraId="5D35CBEC"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مرحوم صاحب هدایه چند استدلال از قائلین به قول اول نقل کرده است:</w:t>
      </w:r>
    </w:p>
    <w:p w14:paraId="73DCF1ED"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1 ـ متبادر از اطلاق لفظ در جایی که قرینه</w:t>
      </w:r>
      <w:r>
        <w:rPr>
          <w:rFonts w:cs="2  Mitra"/>
          <w:sz w:val="28"/>
          <w:szCs w:val="28"/>
          <w:rtl/>
          <w:lang w:bidi="fa-IR"/>
        </w:rPr>
        <w:softHyphen/>
      </w:r>
      <w:r>
        <w:rPr>
          <w:rFonts w:cs="2  Mitra" w:hint="cs"/>
          <w:sz w:val="28"/>
          <w:szCs w:val="28"/>
          <w:rtl/>
          <w:lang w:bidi="fa-IR"/>
        </w:rPr>
        <w:t>ای برای دخول یا عدم دخول غايت در مغيّی نباشد، خروج آن است به نحوی که دخول آن در مغيّی صحّت سلب دارد؛ مثلاً «</w:t>
      </w:r>
      <w:r w:rsidRPr="00360A2B">
        <w:rPr>
          <w:rFonts w:cs="Abz-2 (Badr)" w:hint="cs"/>
          <w:sz w:val="28"/>
          <w:szCs w:val="28"/>
          <w:rtl/>
          <w:lang w:bidi="fa-IR"/>
        </w:rPr>
        <w:t>السير إلی الکوفة</w:t>
      </w:r>
      <w:r>
        <w:rPr>
          <w:rFonts w:cs="2  Mitra" w:hint="cs"/>
          <w:sz w:val="28"/>
          <w:szCs w:val="28"/>
          <w:rtl/>
          <w:lang w:bidi="fa-IR"/>
        </w:rPr>
        <w:t>» قطعاً شامل حرکت کردن داخل کوفه نمی</w:t>
      </w:r>
      <w:r>
        <w:rPr>
          <w:rFonts w:cs="2  Mitra"/>
          <w:sz w:val="28"/>
          <w:szCs w:val="28"/>
          <w:rtl/>
          <w:lang w:bidi="fa-IR"/>
        </w:rPr>
        <w:softHyphen/>
      </w:r>
      <w:r>
        <w:rPr>
          <w:rFonts w:cs="2  Mitra" w:hint="cs"/>
          <w:sz w:val="28"/>
          <w:szCs w:val="28"/>
          <w:rtl/>
          <w:lang w:bidi="fa-IR"/>
        </w:rPr>
        <w:t>شود، همان گونه که «</w:t>
      </w:r>
      <w:r w:rsidRPr="00360A2B">
        <w:rPr>
          <w:rFonts w:cs="Abz-2 (Badr)" w:hint="cs"/>
          <w:sz w:val="28"/>
          <w:szCs w:val="28"/>
          <w:rtl/>
          <w:lang w:bidi="fa-IR"/>
        </w:rPr>
        <w:t>الصوم إلی الليل</w:t>
      </w:r>
      <w:r>
        <w:rPr>
          <w:rFonts w:cs="2  Mitra" w:hint="cs"/>
          <w:sz w:val="28"/>
          <w:szCs w:val="28"/>
          <w:rtl/>
          <w:lang w:bidi="fa-IR"/>
        </w:rPr>
        <w:t>» قطعاً شامل روزه در شب نيست. مؤيّد اين مطلب نيز اين است که اگر کسی مأمور به را بین دو حد ابتدا و انتهای آن اتیان کند، بر عمل او صدق امتثال می</w:t>
      </w:r>
      <w:r>
        <w:rPr>
          <w:rFonts w:cs="2  Mitra"/>
          <w:sz w:val="28"/>
          <w:szCs w:val="28"/>
          <w:rtl/>
          <w:lang w:bidi="fa-IR"/>
        </w:rPr>
        <w:softHyphen/>
      </w:r>
      <w:r>
        <w:rPr>
          <w:rFonts w:cs="2  Mitra" w:hint="cs"/>
          <w:sz w:val="28"/>
          <w:szCs w:val="28"/>
          <w:rtl/>
          <w:lang w:bidi="fa-IR"/>
        </w:rPr>
        <w:t>شود.</w:t>
      </w:r>
    </w:p>
    <w:p w14:paraId="7E39FF17"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2 ـ اکثر نحويّين و اصوليّين اين مبنا را اختيار کرده</w:t>
      </w:r>
      <w:r>
        <w:rPr>
          <w:rFonts w:cs="2  Mitra"/>
          <w:sz w:val="28"/>
          <w:szCs w:val="28"/>
          <w:rtl/>
          <w:lang w:bidi="fa-IR"/>
        </w:rPr>
        <w:softHyphen/>
      </w:r>
      <w:r>
        <w:rPr>
          <w:rFonts w:cs="2  Mitra" w:hint="cs"/>
          <w:sz w:val="28"/>
          <w:szCs w:val="28"/>
          <w:rtl/>
          <w:lang w:bidi="fa-IR"/>
        </w:rPr>
        <w:t>اند و اين مطلب افاده ظن به وضع يا ظن به مراد از لفظ می</w:t>
      </w:r>
      <w:r>
        <w:rPr>
          <w:rFonts w:cs="2  Mitra"/>
          <w:sz w:val="28"/>
          <w:szCs w:val="28"/>
          <w:rtl/>
          <w:lang w:bidi="fa-IR"/>
        </w:rPr>
        <w:softHyphen/>
      </w:r>
      <w:r>
        <w:rPr>
          <w:rFonts w:cs="2  Mitra" w:hint="cs"/>
          <w:sz w:val="28"/>
          <w:szCs w:val="28"/>
          <w:rtl/>
          <w:lang w:bidi="fa-IR"/>
        </w:rPr>
        <w:t>کند.</w:t>
      </w:r>
    </w:p>
    <w:p w14:paraId="11FC0813"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3 ـ در اکثر استعمالاتی که در کلام عرب واقع شده است، غايت خارج از مغيّی است ولو اين مطلب مستند به قرینه باشد، پس هرجا شک کردیم که آيا غايت خارج از مغيّی است يا داخل در آن است، بايد حمل بر احتمال اول شود، چون ظن سبب الحاق مشکوک به اعم اغلب می</w:t>
      </w:r>
      <w:r>
        <w:rPr>
          <w:rFonts w:cs="2  Mitra"/>
          <w:sz w:val="28"/>
          <w:szCs w:val="28"/>
          <w:rtl/>
          <w:lang w:bidi="fa-IR"/>
        </w:rPr>
        <w:softHyphen/>
      </w:r>
      <w:r>
        <w:rPr>
          <w:rFonts w:cs="2  Mitra" w:hint="cs"/>
          <w:sz w:val="28"/>
          <w:szCs w:val="28"/>
          <w:rtl/>
          <w:lang w:bidi="fa-IR"/>
        </w:rPr>
        <w:t>شود.</w:t>
      </w:r>
    </w:p>
    <w:p w14:paraId="0CCE77FA"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4 ـ غايت به معنای نهايت هر چیزی است و نهايت هر چیز، آن جایی است که آن چيز در آن به پايان رسیده باشد، و اين مطلب جز در صورتی که غايت خارج از مغيّی باشد، رخ نمی</w:t>
      </w:r>
      <w:r>
        <w:rPr>
          <w:rFonts w:cs="2  Mitra"/>
          <w:sz w:val="28"/>
          <w:szCs w:val="28"/>
          <w:rtl/>
          <w:lang w:bidi="fa-IR"/>
        </w:rPr>
        <w:softHyphen/>
      </w:r>
      <w:r>
        <w:rPr>
          <w:rFonts w:cs="2  Mitra" w:hint="cs"/>
          <w:sz w:val="28"/>
          <w:szCs w:val="28"/>
          <w:rtl/>
          <w:lang w:bidi="fa-IR"/>
        </w:rPr>
        <w:t>دهد.</w:t>
      </w:r>
    </w:p>
    <w:p w14:paraId="67DD78B3"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5 ـ اصل عدم دخول است، زیرا امر در مسأله دائر مدار زائد و ناقص است، و معلوم است که در صورت دوران حادث بین اقل و اکثر، بسنده کردن به قدر متيقّن لازم است.</w:t>
      </w:r>
    </w:p>
    <w:p w14:paraId="366C64C9" w14:textId="77777777" w:rsidR="00E46F9E" w:rsidRDefault="00E46F9E" w:rsidP="00E46F9E">
      <w:pPr>
        <w:widowControl w:val="0"/>
        <w:bidi/>
        <w:spacing w:before="240" w:line="245" w:lineRule="auto"/>
        <w:ind w:firstLine="289"/>
        <w:jc w:val="both"/>
        <w:rPr>
          <w:rFonts w:cs="2  Mitra"/>
          <w:sz w:val="28"/>
          <w:szCs w:val="28"/>
          <w:rtl/>
          <w:lang w:bidi="fa-IR"/>
        </w:rPr>
      </w:pPr>
      <w:r>
        <w:rPr>
          <w:rFonts w:cs="2  Mitra" w:hint="cs"/>
          <w:sz w:val="28"/>
          <w:szCs w:val="28"/>
          <w:rtl/>
          <w:lang w:bidi="fa-IR"/>
        </w:rPr>
        <w:t>6 ـ استفهام از حکم غايت مستحسن بوده و قبیح نیست و اين مطلب دلالت بر خروج غایت از مغيّی می</w:t>
      </w:r>
      <w:r>
        <w:rPr>
          <w:rFonts w:cs="2  Mitra"/>
          <w:sz w:val="28"/>
          <w:szCs w:val="28"/>
          <w:rtl/>
          <w:lang w:bidi="fa-IR"/>
        </w:rPr>
        <w:softHyphen/>
      </w:r>
      <w:r>
        <w:rPr>
          <w:rFonts w:cs="2  Mitra" w:hint="cs"/>
          <w:sz w:val="28"/>
          <w:szCs w:val="28"/>
          <w:rtl/>
          <w:lang w:bidi="fa-IR"/>
        </w:rPr>
        <w:t xml:space="preserve">کند، چون در </w:t>
      </w:r>
      <w:r>
        <w:rPr>
          <w:rFonts w:cs="2  Mitra" w:hint="cs"/>
          <w:sz w:val="28"/>
          <w:szCs w:val="28"/>
          <w:rtl/>
          <w:lang w:bidi="fa-IR"/>
        </w:rPr>
        <w:lastRenderedPageBreak/>
        <w:t>صورتی که داخل در آن باشد، استفهام مستحسن نخواهد بود.</w:t>
      </w:r>
    </w:p>
    <w:p w14:paraId="77635339" w14:textId="77777777" w:rsidR="00E46F9E" w:rsidRDefault="00E46F9E" w:rsidP="00E46F9E">
      <w:pPr>
        <w:widowControl w:val="0"/>
        <w:bidi/>
        <w:spacing w:before="240" w:line="245" w:lineRule="auto"/>
        <w:ind w:firstLine="289"/>
        <w:jc w:val="both"/>
        <w:rPr>
          <w:rFonts w:cs="Abz-2 (Badr)"/>
          <w:sz w:val="28"/>
          <w:szCs w:val="28"/>
          <w:rtl/>
          <w:lang w:bidi="fa-IR"/>
        </w:rPr>
      </w:pPr>
      <w:r>
        <w:rPr>
          <w:rFonts w:cs="2  Mitra" w:hint="cs"/>
          <w:sz w:val="28"/>
          <w:szCs w:val="28"/>
          <w:rtl/>
          <w:lang w:bidi="fa-IR"/>
        </w:rPr>
        <w:t>7 ـ استعمال در هر دو مورد واقع شده است و از آنجا که اصل در استعمال بر حقيقت است، باید ملتزم شد که غايت وضع برای قدر مشترک این دو معنا شده است، چون در صورتی که استعمال آن در یکی حقیقت و در دیگری مجاز باشد یا این که مشترک بین این دو معنا باید، با اصل مذکور مخالفت صورت گرفته است. و معلوم است که قدر مشترک بین دخول و خروج با خروج غایت از مغيّی تحقق می</w:t>
      </w:r>
      <w:r>
        <w:rPr>
          <w:rFonts w:cs="2  Mitra"/>
          <w:sz w:val="28"/>
          <w:szCs w:val="28"/>
          <w:rtl/>
          <w:lang w:bidi="fa-IR"/>
        </w:rPr>
        <w:softHyphen/>
      </w:r>
      <w:r>
        <w:rPr>
          <w:rFonts w:cs="2  Mitra" w:hint="cs"/>
          <w:sz w:val="28"/>
          <w:szCs w:val="28"/>
          <w:rtl/>
          <w:lang w:bidi="fa-IR"/>
        </w:rPr>
        <w:t>یابد.</w:t>
      </w:r>
      <w:r w:rsidRPr="00D606E9">
        <w:rPr>
          <w:rStyle w:val="FootnoteReference"/>
          <w:rFonts w:cs="2  Mitra"/>
          <w:sz w:val="28"/>
          <w:szCs w:val="28"/>
          <w:rtl/>
          <w:lang w:bidi="fa-IR"/>
        </w:rPr>
        <w:footnoteReference w:id="2"/>
      </w:r>
      <w:r w:rsidRPr="003A6553">
        <w:rPr>
          <w:rFonts w:cs="Abz-2 (Badr)" w:hint="cs"/>
          <w:sz w:val="28"/>
          <w:szCs w:val="28"/>
          <w:rtl/>
          <w:lang w:bidi="fa-IR"/>
        </w:rPr>
        <w:t>‏</w:t>
      </w:r>
    </w:p>
    <w:p w14:paraId="387CBA9A" w14:textId="77777777" w:rsidR="00E46F9E" w:rsidRDefault="00E46F9E" w:rsidP="00E46F9E">
      <w:pPr>
        <w:widowControl w:val="0"/>
        <w:bidi/>
        <w:spacing w:before="240" w:line="259" w:lineRule="auto"/>
        <w:ind w:firstLine="289"/>
        <w:jc w:val="both"/>
        <w:rPr>
          <w:rFonts w:cs="2  Mitra"/>
          <w:sz w:val="28"/>
          <w:szCs w:val="28"/>
          <w:rtl/>
          <w:lang w:bidi="fa-IR"/>
        </w:rPr>
      </w:pPr>
      <w:r w:rsidRPr="00BE528A">
        <w:rPr>
          <w:rFonts w:cs="2  Mitra" w:hint="cs"/>
          <w:sz w:val="28"/>
          <w:szCs w:val="28"/>
          <w:rtl/>
          <w:lang w:bidi="fa-IR"/>
        </w:rPr>
        <w:t xml:space="preserve">مرحوم آخوند نيز </w:t>
      </w:r>
      <w:r>
        <w:rPr>
          <w:rFonts w:cs="2  Mitra" w:hint="cs"/>
          <w:sz w:val="28"/>
          <w:szCs w:val="28"/>
          <w:rtl/>
          <w:lang w:bidi="fa-IR"/>
        </w:rPr>
        <w:t>قائل به همين قول شده و در این مدعا تمسّک به استدلال چهارم کرده است.</w:t>
      </w:r>
      <w:r w:rsidRPr="00D606E9">
        <w:rPr>
          <w:rStyle w:val="FootnoteReference"/>
          <w:rFonts w:cs="2  Mitra"/>
          <w:sz w:val="28"/>
          <w:szCs w:val="28"/>
          <w:rtl/>
          <w:lang w:bidi="fa-IR"/>
        </w:rPr>
        <w:footnoteReference w:id="3"/>
      </w:r>
      <w:r w:rsidRPr="003A6553">
        <w:rPr>
          <w:rFonts w:cs="Abz-2 (Badr)" w:hint="cs"/>
          <w:sz w:val="28"/>
          <w:szCs w:val="28"/>
          <w:rtl/>
          <w:lang w:bidi="fa-IR"/>
        </w:rPr>
        <w:t>‏</w:t>
      </w:r>
    </w:p>
    <w:p w14:paraId="240F7A64" w14:textId="77777777" w:rsidR="00E46F9E" w:rsidRDefault="00E46F9E" w:rsidP="00E46F9E">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هيچ يک از اين استدلال</w:t>
      </w:r>
      <w:r>
        <w:rPr>
          <w:rFonts w:cs="2  Mitra"/>
          <w:sz w:val="28"/>
          <w:szCs w:val="28"/>
          <w:rtl/>
          <w:lang w:bidi="fa-IR"/>
        </w:rPr>
        <w:softHyphen/>
      </w:r>
      <w:r>
        <w:rPr>
          <w:rFonts w:cs="2  Mitra" w:hint="cs"/>
          <w:sz w:val="28"/>
          <w:szCs w:val="28"/>
          <w:rtl/>
          <w:lang w:bidi="fa-IR"/>
        </w:rPr>
        <w:t>ها تمام نيست، زيرا اولاً: ادعای تبادر خلاف وجدان است، بلکه می</w:t>
      </w:r>
      <w:r>
        <w:rPr>
          <w:rFonts w:cs="2  Mitra"/>
          <w:sz w:val="28"/>
          <w:szCs w:val="28"/>
          <w:rtl/>
          <w:lang w:bidi="fa-IR"/>
        </w:rPr>
        <w:softHyphen/>
      </w:r>
      <w:r>
        <w:rPr>
          <w:rFonts w:cs="2  Mitra" w:hint="cs"/>
          <w:sz w:val="28"/>
          <w:szCs w:val="28"/>
          <w:rtl/>
          <w:lang w:bidi="fa-IR"/>
        </w:rPr>
        <w:t>توان ادعا کرد که اگر قرینه خاصی وجود نداشته باشد، آنچه که به ذهن تبادر می</w:t>
      </w:r>
      <w:r>
        <w:rPr>
          <w:rFonts w:cs="2  Mitra"/>
          <w:sz w:val="28"/>
          <w:szCs w:val="28"/>
          <w:rtl/>
          <w:lang w:bidi="fa-IR"/>
        </w:rPr>
        <w:softHyphen/>
      </w:r>
      <w:r>
        <w:rPr>
          <w:rFonts w:cs="2  Mitra" w:hint="cs"/>
          <w:sz w:val="28"/>
          <w:szCs w:val="28"/>
          <w:rtl/>
          <w:lang w:bidi="fa-IR"/>
        </w:rPr>
        <w:t>کند، دخول غايت در مغيّی است. مثلاً اگر مولا به عبد بگوید: «</w:t>
      </w:r>
      <w:r w:rsidRPr="00BE528A">
        <w:rPr>
          <w:rFonts w:cs="Abz-2 (Badr)" w:hint="cs"/>
          <w:sz w:val="28"/>
          <w:szCs w:val="28"/>
          <w:rtl/>
          <w:lang w:bidi="fa-IR"/>
        </w:rPr>
        <w:t>أحضر لي من الجزء الأوّل إلی الجزء الرابع من کتاب کذا</w:t>
      </w:r>
      <w:r>
        <w:rPr>
          <w:rFonts w:cs="2  Mitra" w:hint="cs"/>
          <w:sz w:val="28"/>
          <w:szCs w:val="28"/>
          <w:rtl/>
          <w:lang w:bidi="fa-IR"/>
        </w:rPr>
        <w:t>»، همان گونه که به ذهن تبادر می</w:t>
      </w:r>
      <w:r>
        <w:rPr>
          <w:rFonts w:cs="2  Mitra"/>
          <w:sz w:val="28"/>
          <w:szCs w:val="28"/>
          <w:rtl/>
          <w:lang w:bidi="fa-IR"/>
        </w:rPr>
        <w:softHyphen/>
      </w:r>
      <w:r>
        <w:rPr>
          <w:rFonts w:cs="2  Mitra" w:hint="cs"/>
          <w:sz w:val="28"/>
          <w:szCs w:val="28"/>
          <w:rtl/>
          <w:lang w:bidi="fa-IR"/>
        </w:rPr>
        <w:t>کند که آوردن جلد اول کتاب توسط عبد مطلوب مولا است، متبادر به ذهن مطلوبیت آوردن جلد چهارم آن توسط عبد نیز می</w:t>
      </w:r>
      <w:r>
        <w:rPr>
          <w:rFonts w:cs="2  Mitra"/>
          <w:sz w:val="28"/>
          <w:szCs w:val="28"/>
          <w:rtl/>
          <w:lang w:bidi="fa-IR"/>
        </w:rPr>
        <w:softHyphen/>
      </w:r>
      <w:r>
        <w:rPr>
          <w:rFonts w:cs="2  Mitra" w:hint="cs"/>
          <w:sz w:val="28"/>
          <w:szCs w:val="28"/>
          <w:rtl/>
          <w:lang w:bidi="fa-IR"/>
        </w:rPr>
        <w:t>باشد، بدون این که این مطلب نیازمند وجود قرینه خاصی باشد. و یا وقتی گفته می</w:t>
      </w:r>
      <w:r>
        <w:rPr>
          <w:rFonts w:cs="2  Mitra"/>
          <w:sz w:val="28"/>
          <w:szCs w:val="28"/>
          <w:rtl/>
          <w:lang w:bidi="fa-IR"/>
        </w:rPr>
        <w:softHyphen/>
      </w:r>
      <w:r>
        <w:rPr>
          <w:rFonts w:cs="2  Mitra" w:hint="cs"/>
          <w:sz w:val="28"/>
          <w:szCs w:val="28"/>
          <w:rtl/>
          <w:lang w:bidi="fa-IR"/>
        </w:rPr>
        <w:t>شود: «</w:t>
      </w:r>
      <w:r w:rsidRPr="00BE528A">
        <w:rPr>
          <w:rFonts w:cs="Abz-2 (Badr)" w:hint="cs"/>
          <w:sz w:val="28"/>
          <w:szCs w:val="28"/>
          <w:rtl/>
          <w:lang w:bidi="fa-IR"/>
        </w:rPr>
        <w:t>اشتغل بالعمل الفلاني من السبت إلی الأ</w:t>
      </w:r>
      <w:r>
        <w:rPr>
          <w:rFonts w:cs="Abz-2 (Badr)" w:hint="cs"/>
          <w:sz w:val="28"/>
          <w:szCs w:val="28"/>
          <w:rtl/>
          <w:lang w:bidi="fa-IR"/>
        </w:rPr>
        <w:t>ر</w:t>
      </w:r>
      <w:r w:rsidRPr="00BE528A">
        <w:rPr>
          <w:rFonts w:cs="Abz-2 (Badr)" w:hint="cs"/>
          <w:sz w:val="28"/>
          <w:szCs w:val="28"/>
          <w:rtl/>
          <w:lang w:bidi="fa-IR"/>
        </w:rPr>
        <w:t>بعاء</w:t>
      </w:r>
      <w:r>
        <w:rPr>
          <w:rFonts w:cs="2  Mitra" w:hint="cs"/>
          <w:sz w:val="28"/>
          <w:szCs w:val="28"/>
          <w:rtl/>
          <w:lang w:bidi="fa-IR"/>
        </w:rPr>
        <w:t>» از اين مطلب اين گونه برداشت می</w:t>
      </w:r>
      <w:r>
        <w:rPr>
          <w:rFonts w:cs="2  Mitra"/>
          <w:sz w:val="28"/>
          <w:szCs w:val="28"/>
          <w:rtl/>
          <w:lang w:bidi="fa-IR"/>
        </w:rPr>
        <w:softHyphen/>
      </w:r>
      <w:r>
        <w:rPr>
          <w:rFonts w:cs="2  Mitra" w:hint="cs"/>
          <w:sz w:val="28"/>
          <w:szCs w:val="28"/>
          <w:rtl/>
          <w:lang w:bidi="fa-IR"/>
        </w:rPr>
        <w:t>شود که همان گونه که اشتغال به آن عمل در روز شنبه مطلوب است، در روز چهارشنبه نيز مطلوبیت دارد.</w:t>
      </w:r>
    </w:p>
    <w:p w14:paraId="00D71D02" w14:textId="77777777" w:rsidR="00E46F9E" w:rsidRDefault="00E46F9E" w:rsidP="00E46F9E">
      <w:pPr>
        <w:widowControl w:val="0"/>
        <w:bidi/>
        <w:spacing w:before="240" w:line="259" w:lineRule="auto"/>
        <w:ind w:firstLine="289"/>
        <w:jc w:val="both"/>
        <w:rPr>
          <w:rFonts w:cs="2  Mitra"/>
          <w:sz w:val="28"/>
          <w:szCs w:val="28"/>
          <w:rtl/>
          <w:lang w:bidi="fa-IR"/>
        </w:rPr>
      </w:pPr>
      <w:r>
        <w:rPr>
          <w:rFonts w:cs="2  Mitra" w:hint="cs"/>
          <w:sz w:val="28"/>
          <w:szCs w:val="28"/>
          <w:rtl/>
          <w:lang w:bidi="fa-IR"/>
        </w:rPr>
        <w:t>به عبارت دیگر فرقی بین مبدأ و منتهی از اين جهت وجود ندارد و همان گونه که در دخول مبدأ در حد مذکور اشکالی وجود ندارد، در دخول غايت نيز در آن اشکالی نيست.</w:t>
      </w:r>
    </w:p>
    <w:p w14:paraId="57807E90" w14:textId="77777777" w:rsidR="00E46F9E" w:rsidRDefault="00E46F9E" w:rsidP="00E46F9E">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مثال</w:t>
      </w:r>
      <w:r>
        <w:rPr>
          <w:rFonts w:cs="2  Mitra"/>
          <w:sz w:val="28"/>
          <w:szCs w:val="28"/>
          <w:rtl/>
          <w:lang w:bidi="fa-IR"/>
        </w:rPr>
        <w:softHyphen/>
      </w:r>
      <w:r>
        <w:rPr>
          <w:rFonts w:cs="2  Mitra" w:hint="cs"/>
          <w:sz w:val="28"/>
          <w:szCs w:val="28"/>
          <w:rtl/>
          <w:lang w:bidi="fa-IR"/>
        </w:rPr>
        <w:t>هایی که برای عدم دخول غایت در مغيّی و صحت سلب از آن ذکر شده است، مثال</w:t>
      </w:r>
      <w:r>
        <w:rPr>
          <w:rFonts w:cs="2  Mitra"/>
          <w:sz w:val="28"/>
          <w:szCs w:val="28"/>
          <w:rtl/>
          <w:lang w:bidi="fa-IR"/>
        </w:rPr>
        <w:softHyphen/>
      </w:r>
      <w:r>
        <w:rPr>
          <w:rFonts w:cs="2  Mitra" w:hint="cs"/>
          <w:sz w:val="28"/>
          <w:szCs w:val="28"/>
          <w:rtl/>
          <w:lang w:bidi="fa-IR"/>
        </w:rPr>
        <w:t>های صحيحی نيستند، چون وقتی گفته می</w:t>
      </w:r>
      <w:r>
        <w:rPr>
          <w:rFonts w:cs="2  Mitra"/>
          <w:sz w:val="28"/>
          <w:szCs w:val="28"/>
          <w:rtl/>
          <w:lang w:bidi="fa-IR"/>
        </w:rPr>
        <w:softHyphen/>
      </w:r>
      <w:r>
        <w:rPr>
          <w:rFonts w:cs="2  Mitra" w:hint="cs"/>
          <w:sz w:val="28"/>
          <w:szCs w:val="28"/>
          <w:rtl/>
          <w:lang w:bidi="fa-IR"/>
        </w:rPr>
        <w:t>شود: «</w:t>
      </w:r>
      <w:r w:rsidRPr="001955A6">
        <w:rPr>
          <w:rFonts w:cs="Abz-2 (Badr)" w:hint="cs"/>
          <w:sz w:val="28"/>
          <w:szCs w:val="28"/>
          <w:rtl/>
          <w:lang w:bidi="fa-IR"/>
        </w:rPr>
        <w:t>سر من البصرة إلی الکوفه</w:t>
      </w:r>
      <w:r>
        <w:rPr>
          <w:rFonts w:cs="2  Mitra" w:hint="cs"/>
          <w:sz w:val="28"/>
          <w:szCs w:val="28"/>
          <w:rtl/>
          <w:lang w:bidi="fa-IR"/>
        </w:rPr>
        <w:t>» از آنجا که بصره و کوفه دارای اجزاء متعدد بوده و بسیط نيستند، هر جزئی از آنها می</w:t>
      </w:r>
      <w:r>
        <w:rPr>
          <w:rFonts w:cs="2  Mitra"/>
          <w:sz w:val="28"/>
          <w:szCs w:val="28"/>
          <w:rtl/>
          <w:lang w:bidi="fa-IR"/>
        </w:rPr>
        <w:softHyphen/>
      </w:r>
      <w:r>
        <w:rPr>
          <w:rFonts w:cs="2  Mitra" w:hint="cs"/>
          <w:sz w:val="28"/>
          <w:szCs w:val="28"/>
          <w:rtl/>
          <w:lang w:bidi="fa-IR"/>
        </w:rPr>
        <w:t>تواند توسط مأمور به عنوان مبدأ يا غايت سير در نظر گرفته شود؛ فلذا می</w:t>
      </w:r>
      <w:r>
        <w:rPr>
          <w:rFonts w:cs="2  Mitra"/>
          <w:sz w:val="28"/>
          <w:szCs w:val="28"/>
          <w:rtl/>
          <w:lang w:bidi="fa-IR"/>
        </w:rPr>
        <w:softHyphen/>
      </w:r>
      <w:r>
        <w:rPr>
          <w:rFonts w:cs="2  Mitra" w:hint="cs"/>
          <w:sz w:val="28"/>
          <w:szCs w:val="28"/>
          <w:rtl/>
          <w:lang w:bidi="fa-IR"/>
        </w:rPr>
        <w:t>تواند حرکت خود را از اول بصره يا آخر آن يا وسط آن شروع کند، همان گونه که به مجرد رسيدن به هر قسمتی از کوفه، امتثال امر محقق شده است و امر به این واسطه ساقط می</w:t>
      </w:r>
      <w:r>
        <w:rPr>
          <w:rFonts w:cs="2  Mitra"/>
          <w:sz w:val="28"/>
          <w:szCs w:val="28"/>
          <w:rtl/>
          <w:lang w:bidi="fa-IR"/>
        </w:rPr>
        <w:softHyphen/>
      </w:r>
      <w:r>
        <w:rPr>
          <w:rFonts w:cs="2  Mitra" w:hint="cs"/>
          <w:sz w:val="28"/>
          <w:szCs w:val="28"/>
          <w:rtl/>
          <w:lang w:bidi="fa-IR"/>
        </w:rPr>
        <w:t>گردد و بعد از آن، سير در داخل کوفه، ديگر امتثال این امر محسوب نمی</w:t>
      </w:r>
      <w:r>
        <w:rPr>
          <w:rFonts w:cs="2  Mitra"/>
          <w:sz w:val="28"/>
          <w:szCs w:val="28"/>
          <w:rtl/>
          <w:lang w:bidi="fa-IR"/>
        </w:rPr>
        <w:softHyphen/>
      </w:r>
      <w:r>
        <w:rPr>
          <w:rFonts w:cs="2  Mitra" w:hint="cs"/>
          <w:sz w:val="28"/>
          <w:szCs w:val="28"/>
          <w:rtl/>
          <w:lang w:bidi="fa-IR"/>
        </w:rPr>
        <w:t xml:space="preserve">شود و اين مطلب به معنای خروج غایت از </w:t>
      </w:r>
      <w:r>
        <w:rPr>
          <w:rFonts w:cs="2  Mitra" w:hint="cs"/>
          <w:sz w:val="28"/>
          <w:szCs w:val="28"/>
          <w:rtl/>
          <w:lang w:bidi="fa-IR"/>
        </w:rPr>
        <w:lastRenderedPageBreak/>
        <w:t>مغيّی نيست، بلکه در اين مورد نيز مدعا اين است که غايت داخل در مغيّی است.</w:t>
      </w:r>
    </w:p>
    <w:p w14:paraId="778433ED" w14:textId="77777777" w:rsidR="00E46F9E" w:rsidRDefault="00E46F9E" w:rsidP="00E46F9E">
      <w:pPr>
        <w:widowControl w:val="0"/>
        <w:bidi/>
        <w:spacing w:before="240" w:line="259" w:lineRule="auto"/>
        <w:ind w:firstLine="289"/>
        <w:jc w:val="both"/>
        <w:rPr>
          <w:rFonts w:cs="2  Mitra"/>
          <w:sz w:val="28"/>
          <w:szCs w:val="28"/>
          <w:rtl/>
          <w:lang w:bidi="fa-IR"/>
        </w:rPr>
      </w:pPr>
      <w:r w:rsidRPr="004D1A7A">
        <w:rPr>
          <w:rFonts w:cs="2  Mitra" w:hint="cs"/>
          <w:sz w:val="28"/>
          <w:szCs w:val="28"/>
          <w:rtl/>
          <w:lang w:bidi="fa-IR"/>
        </w:rPr>
        <w:t xml:space="preserve">و نيز در آيه شريفه: </w:t>
      </w:r>
      <w:r w:rsidRPr="004D1A7A">
        <w:rPr>
          <w:rFonts w:cs="QuranTaha" w:hint="cs"/>
          <w:sz w:val="26"/>
          <w:szCs w:val="26"/>
          <w:rtl/>
          <w:lang w:bidi="fa-IR"/>
        </w:rPr>
        <w:t>«</w:t>
      </w:r>
      <w:r w:rsidRPr="004D1A7A">
        <w:rPr>
          <w:rFonts w:cs="QuranTaha" w:hint="cs"/>
          <w:sz w:val="26"/>
          <w:szCs w:val="26"/>
          <w:rtl/>
        </w:rPr>
        <w:t>ثُمَّ أَتِمُّوا الصِّيَامَ إِلَى اللَّيْلِ»</w:t>
      </w:r>
      <w:r w:rsidRPr="004D1A7A">
        <w:rPr>
          <w:rStyle w:val="FootnoteReference"/>
          <w:rFonts w:cs="2  Mitra"/>
          <w:sz w:val="28"/>
          <w:szCs w:val="28"/>
          <w:rtl/>
          <w:lang w:bidi="fa-IR"/>
        </w:rPr>
        <w:footnoteReference w:id="4"/>
      </w:r>
      <w:r w:rsidRPr="004D1A7A">
        <w:rPr>
          <w:rFonts w:cs="Abz-2 (Badr)" w:hint="cs"/>
          <w:sz w:val="28"/>
          <w:szCs w:val="28"/>
          <w:rtl/>
          <w:lang w:bidi="fa-IR"/>
        </w:rPr>
        <w:t>‏</w:t>
      </w:r>
      <w:r w:rsidRPr="004D1A7A">
        <w:rPr>
          <w:rFonts w:cs="2  Mitra" w:hint="cs"/>
          <w:sz w:val="28"/>
          <w:szCs w:val="28"/>
          <w:rtl/>
        </w:rPr>
        <w:t xml:space="preserve"> </w:t>
      </w:r>
      <w:r w:rsidRPr="004D1A7A">
        <w:rPr>
          <w:rFonts w:cs="2  Mitra" w:hint="cs"/>
          <w:sz w:val="28"/>
          <w:szCs w:val="28"/>
          <w:rtl/>
          <w:lang w:bidi="fa-IR"/>
        </w:rPr>
        <w:t>از آنجا که شب دارای اجزاء متعددی است، به مجرد اتمام روزه تا رسيدن اولين جزء آن، صدق امتثال امر می</w:t>
      </w:r>
      <w:r w:rsidRPr="004D1A7A">
        <w:rPr>
          <w:rFonts w:cs="2  Mitra"/>
          <w:sz w:val="28"/>
          <w:szCs w:val="28"/>
          <w:rtl/>
          <w:lang w:bidi="fa-IR"/>
        </w:rPr>
        <w:softHyphen/>
      </w:r>
      <w:r w:rsidRPr="004D1A7A">
        <w:rPr>
          <w:rFonts w:cs="2  Mitra" w:hint="cs"/>
          <w:sz w:val="28"/>
          <w:szCs w:val="28"/>
          <w:rtl/>
          <w:lang w:bidi="fa-IR"/>
        </w:rPr>
        <w:t>شود و در نتیجه امر ساقط می</w:t>
      </w:r>
      <w:r w:rsidRPr="004D1A7A">
        <w:rPr>
          <w:rFonts w:cs="2  Mitra"/>
          <w:sz w:val="28"/>
          <w:szCs w:val="28"/>
          <w:rtl/>
          <w:lang w:bidi="fa-IR"/>
        </w:rPr>
        <w:softHyphen/>
      </w:r>
      <w:r w:rsidRPr="004D1A7A">
        <w:rPr>
          <w:rFonts w:cs="2  Mitra" w:hint="cs"/>
          <w:sz w:val="28"/>
          <w:szCs w:val="28"/>
          <w:rtl/>
          <w:lang w:bidi="fa-IR"/>
        </w:rPr>
        <w:t>گردد و امساک پس از آن و در اجزاء بعدی شب، امتثال اين امر محسوب نمی</w:t>
      </w:r>
      <w:r w:rsidRPr="004D1A7A">
        <w:rPr>
          <w:rFonts w:cs="2  Mitra"/>
          <w:sz w:val="28"/>
          <w:szCs w:val="28"/>
          <w:rtl/>
          <w:lang w:bidi="fa-IR"/>
        </w:rPr>
        <w:softHyphen/>
      </w:r>
      <w:r w:rsidRPr="004D1A7A">
        <w:rPr>
          <w:rFonts w:cs="2  Mitra" w:hint="cs"/>
          <w:sz w:val="28"/>
          <w:szCs w:val="28"/>
          <w:rtl/>
          <w:lang w:bidi="fa-IR"/>
        </w:rPr>
        <w:t>شود. پس در اين مورد نيز می</w:t>
      </w:r>
      <w:r w:rsidRPr="004D1A7A">
        <w:rPr>
          <w:rFonts w:cs="2  Mitra"/>
          <w:sz w:val="28"/>
          <w:szCs w:val="28"/>
          <w:rtl/>
          <w:lang w:bidi="fa-IR"/>
        </w:rPr>
        <w:softHyphen/>
      </w:r>
      <w:r w:rsidRPr="004D1A7A">
        <w:rPr>
          <w:rFonts w:cs="2  Mitra" w:hint="cs"/>
          <w:sz w:val="28"/>
          <w:szCs w:val="28"/>
          <w:rtl/>
          <w:lang w:bidi="fa-IR"/>
        </w:rPr>
        <w:t xml:space="preserve">توان ادعا کرد که اولين جزء از شب داخل در </w:t>
      </w:r>
      <w:r>
        <w:rPr>
          <w:rFonts w:cs="2  Mitra" w:hint="cs"/>
          <w:sz w:val="28"/>
          <w:szCs w:val="28"/>
          <w:rtl/>
          <w:lang w:bidi="fa-IR"/>
        </w:rPr>
        <w:t>مغيّی</w:t>
      </w:r>
      <w:r w:rsidRPr="004D1A7A">
        <w:rPr>
          <w:rFonts w:cs="2  Mitra" w:hint="cs"/>
          <w:sz w:val="28"/>
          <w:szCs w:val="28"/>
          <w:rtl/>
          <w:lang w:bidi="fa-IR"/>
        </w:rPr>
        <w:t xml:space="preserve"> است و اين آيه نيز منافاتی با آنچه که گفته شد، ندارد</w:t>
      </w:r>
      <w:r>
        <w:rPr>
          <w:rFonts w:cs="2  Mitra" w:hint="cs"/>
          <w:sz w:val="28"/>
          <w:szCs w:val="28"/>
          <w:rtl/>
          <w:lang w:bidi="fa-IR"/>
        </w:rPr>
        <w:t>.</w:t>
      </w:r>
    </w:p>
    <w:p w14:paraId="25C8F9B2" w14:textId="77777777" w:rsidR="00E46F9E" w:rsidRPr="004D1A7A" w:rsidRDefault="00E46F9E" w:rsidP="00E46F9E">
      <w:pPr>
        <w:widowControl w:val="0"/>
        <w:bidi/>
        <w:spacing w:before="240" w:line="259" w:lineRule="auto"/>
        <w:ind w:firstLine="289"/>
        <w:jc w:val="both"/>
        <w:rPr>
          <w:rFonts w:cs="2  Mitra"/>
          <w:sz w:val="28"/>
          <w:szCs w:val="28"/>
          <w:rtl/>
          <w:lang w:bidi="fa-IR"/>
        </w:rPr>
      </w:pPr>
      <w:r>
        <w:rPr>
          <w:rFonts w:cs="2  Mitra" w:hint="cs"/>
          <w:sz w:val="28"/>
          <w:szCs w:val="28"/>
          <w:rtl/>
          <w:lang w:bidi="fa-IR"/>
        </w:rPr>
        <w:t>به عبارت دیگر: فرق است بين اين که گفته شود: «تا شب روزه را ادامه بده» با اين که گفته شود: «تا انتهای روز، روزه بگير» و نمی</w:t>
      </w:r>
      <w:r>
        <w:rPr>
          <w:rFonts w:cs="2  Mitra"/>
          <w:sz w:val="28"/>
          <w:szCs w:val="28"/>
          <w:rtl/>
          <w:lang w:bidi="fa-IR"/>
        </w:rPr>
        <w:softHyphen/>
      </w:r>
      <w:r>
        <w:rPr>
          <w:rFonts w:cs="2  Mitra" w:hint="cs"/>
          <w:sz w:val="28"/>
          <w:szCs w:val="28"/>
          <w:rtl/>
          <w:lang w:bidi="fa-IR"/>
        </w:rPr>
        <w:t>توان عبارت اول را تعبیر دیگری از عبارت دوم دانست، بلکه همان گونه که در عبارت دوم، شکی نيست که آخرین جزء روز داخل در مکلف به است، در عبارت اول نيز بايد گفت: اولين جزء شب، داخل در آن می</w:t>
      </w:r>
      <w:r>
        <w:rPr>
          <w:rFonts w:cs="2  Mitra"/>
          <w:sz w:val="28"/>
          <w:szCs w:val="28"/>
          <w:rtl/>
          <w:lang w:bidi="fa-IR"/>
        </w:rPr>
        <w:softHyphen/>
      </w:r>
      <w:r>
        <w:rPr>
          <w:rFonts w:cs="2  Mitra" w:hint="cs"/>
          <w:sz w:val="28"/>
          <w:szCs w:val="28"/>
          <w:rtl/>
          <w:lang w:bidi="fa-IR"/>
        </w:rPr>
        <w:t>باشد.</w:t>
      </w:r>
    </w:p>
    <w:p w14:paraId="2A1FD90A" w14:textId="77777777" w:rsidR="00E46F9E" w:rsidRPr="00C10F36" w:rsidRDefault="00E46F9E" w:rsidP="00E46F9E">
      <w:pPr>
        <w:widowControl w:val="0"/>
        <w:bidi/>
        <w:spacing w:before="240" w:line="252" w:lineRule="auto"/>
        <w:ind w:firstLine="289"/>
        <w:jc w:val="both"/>
        <w:rPr>
          <w:rFonts w:cs="2  Mitra"/>
          <w:sz w:val="28"/>
          <w:szCs w:val="28"/>
          <w:rtl/>
          <w:lang w:bidi="fa-IR"/>
        </w:rPr>
      </w:pPr>
    </w:p>
    <w:p w14:paraId="7D9979DE" w14:textId="26D41A3F" w:rsidR="001B24FC" w:rsidRPr="00575923" w:rsidRDefault="001B24FC" w:rsidP="00575923">
      <w:pPr>
        <w:rPr>
          <w:rtl/>
        </w:rPr>
      </w:pPr>
    </w:p>
    <w:sectPr w:rsidR="001B24FC" w:rsidRPr="00575923"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82A166" w14:textId="77777777" w:rsidR="001D643D" w:rsidRDefault="001D643D" w:rsidP="00C336C5">
      <w:pPr>
        <w:spacing w:after="0" w:line="240" w:lineRule="auto"/>
      </w:pPr>
      <w:r>
        <w:separator/>
      </w:r>
    </w:p>
  </w:endnote>
  <w:endnote w:type="continuationSeparator" w:id="0">
    <w:p w14:paraId="3609D218" w14:textId="77777777" w:rsidR="001D643D" w:rsidRDefault="001D643D" w:rsidP="00C336C5">
      <w:pPr>
        <w:spacing w:after="0" w:line="240" w:lineRule="auto"/>
      </w:pPr>
      <w:r>
        <w:continuationSeparator/>
      </w:r>
    </w:p>
  </w:endnote>
  <w:endnote w:type="continuationNotice" w:id="1">
    <w:p w14:paraId="3B351DBA" w14:textId="77777777" w:rsidR="001D643D" w:rsidRDefault="001D64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5F230F" w14:textId="77777777" w:rsidR="001D643D" w:rsidRDefault="001D643D" w:rsidP="00C336C5">
      <w:pPr>
        <w:bidi/>
        <w:spacing w:after="0" w:line="240" w:lineRule="auto"/>
      </w:pPr>
      <w:r>
        <w:separator/>
      </w:r>
    </w:p>
  </w:footnote>
  <w:footnote w:type="continuationSeparator" w:id="0">
    <w:p w14:paraId="2351F2DE" w14:textId="77777777" w:rsidR="001D643D" w:rsidRDefault="001D643D" w:rsidP="00C336C5">
      <w:pPr>
        <w:spacing w:after="0" w:line="240" w:lineRule="auto"/>
      </w:pPr>
      <w:r>
        <w:continuationSeparator/>
      </w:r>
    </w:p>
  </w:footnote>
  <w:footnote w:type="continuationNotice" w:id="1">
    <w:p w14:paraId="1816E5F8" w14:textId="77777777" w:rsidR="001D643D" w:rsidRDefault="001D643D">
      <w:pPr>
        <w:spacing w:after="0" w:line="240" w:lineRule="auto"/>
      </w:pPr>
    </w:p>
  </w:footnote>
  <w:footnote w:id="2">
    <w:p w14:paraId="22D61107" w14:textId="77777777" w:rsidR="00E46F9E" w:rsidRPr="00DE53E8" w:rsidRDefault="00E46F9E" w:rsidP="00E46F9E">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هداية المسترشدين،ج2،ص519 - 523.</w:t>
      </w:r>
    </w:p>
  </w:footnote>
  <w:footnote w:id="3">
    <w:p w14:paraId="0957FC75" w14:textId="77777777" w:rsidR="00E46F9E" w:rsidRPr="00DE53E8" w:rsidRDefault="00E46F9E" w:rsidP="00E46F9E">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کفاية الأُصول،ص209.</w:t>
      </w:r>
    </w:p>
  </w:footnote>
  <w:footnote w:id="4">
    <w:p w14:paraId="0F7CCFDA" w14:textId="77777777" w:rsidR="00E46F9E" w:rsidRPr="00DE53E8" w:rsidRDefault="00E46F9E" w:rsidP="00E46F9E">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البقرة(2):187.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7FFA432"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E46F9E">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E46F9E">
                            <w:rPr>
                              <w:rFonts w:cs="B Mehr" w:hint="cs"/>
                              <w:rtl/>
                              <w:lang w:bidi="fa-IR"/>
                            </w:rPr>
                            <w:t>16</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7FFA432"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E46F9E">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E46F9E">
                      <w:rPr>
                        <w:rFonts w:cs="B Mehr" w:hint="cs"/>
                        <w:rtl/>
                        <w:lang w:bidi="fa-IR"/>
                      </w:rPr>
                      <w:t>16</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4089</TotalTime>
  <Pages>1</Pages>
  <Words>596</Words>
  <Characters>3399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1157</cp:revision>
  <cp:lastPrinted>2025-04-15T09:36:00Z</cp:lastPrinted>
  <dcterms:created xsi:type="dcterms:W3CDTF">2022-10-16T08:36:00Z</dcterms:created>
  <dcterms:modified xsi:type="dcterms:W3CDTF">2025-05-06T07:32:00Z</dcterms:modified>
</cp:coreProperties>
</file>