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F76769" w14:textId="77777777" w:rsidR="00575923" w:rsidRDefault="00575923" w:rsidP="00575923">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05470B54" w14:textId="77777777" w:rsidR="00575923" w:rsidRDefault="00575923" w:rsidP="00575923">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118A4360" w14:textId="77777777" w:rsidR="00575923" w:rsidRDefault="00575923" w:rsidP="00575923">
      <w:pPr>
        <w:widowControl w:val="0"/>
        <w:bidi/>
        <w:spacing w:after="240"/>
        <w:jc w:val="center"/>
        <w:rPr>
          <w:rFonts w:cs="B Mitra" w:hint="cs"/>
          <w:b/>
          <w:bCs/>
          <w:sz w:val="32"/>
          <w:szCs w:val="32"/>
          <w:rtl/>
          <w:lang w:bidi="fa-IR"/>
        </w:rPr>
      </w:pPr>
      <w:r>
        <w:rPr>
          <w:rFonts w:cs="B Mitra" w:hint="cs"/>
          <w:b/>
          <w:bCs/>
          <w:sz w:val="32"/>
          <w:szCs w:val="32"/>
          <w:rtl/>
          <w:lang w:bidi="fa-IR"/>
        </w:rPr>
        <w:t>جلسه 922</w:t>
      </w:r>
    </w:p>
    <w:bookmarkEnd w:id="0"/>
    <w:p w14:paraId="004773A6" w14:textId="77777777" w:rsidR="00575923" w:rsidRDefault="00575923" w:rsidP="00575923">
      <w:pPr>
        <w:widowControl w:val="0"/>
        <w:bidi/>
        <w:spacing w:before="240" w:line="244" w:lineRule="auto"/>
        <w:ind w:firstLine="289"/>
        <w:jc w:val="both"/>
        <w:rPr>
          <w:rFonts w:ascii="Amiri" w:hAnsi="Amiri" w:cs="Amiri" w:hint="cs"/>
          <w:b/>
          <w:bCs/>
          <w:sz w:val="24"/>
          <w:szCs w:val="24"/>
          <w:rtl/>
          <w:lang w:bidi="fa-IR"/>
        </w:rPr>
      </w:pPr>
    </w:p>
    <w:p w14:paraId="502C5C81" w14:textId="77777777" w:rsidR="00575923" w:rsidRDefault="00575923" w:rsidP="00575923">
      <w:pPr>
        <w:widowControl w:val="0"/>
        <w:bidi/>
        <w:spacing w:before="240" w:line="252" w:lineRule="auto"/>
        <w:ind w:firstLine="289"/>
        <w:jc w:val="both"/>
        <w:rPr>
          <w:rFonts w:ascii="Amiri" w:hAnsi="Amiri" w:cs="Amiri"/>
          <w:b/>
          <w:bCs/>
          <w:sz w:val="24"/>
          <w:szCs w:val="24"/>
          <w:rtl/>
          <w:lang w:bidi="fa-IR"/>
        </w:rPr>
      </w:pPr>
      <w:r>
        <w:rPr>
          <w:rFonts w:ascii="Amiri" w:hAnsi="Amiri" w:cs="Amiri"/>
          <w:b/>
          <w:bCs/>
          <w:sz w:val="24"/>
          <w:szCs w:val="24"/>
          <w:rtl/>
          <w:lang w:bidi="fa-IR"/>
        </w:rPr>
        <w:t>مقام اول: دخول غايت در مغيّی</w:t>
      </w:r>
    </w:p>
    <w:p w14:paraId="50E5995B" w14:textId="77777777" w:rsidR="00575923" w:rsidRDefault="00575923" w:rsidP="00575923">
      <w:pPr>
        <w:widowControl w:val="0"/>
        <w:bidi/>
        <w:spacing w:before="240" w:line="252" w:lineRule="auto"/>
        <w:ind w:firstLine="289"/>
        <w:jc w:val="both"/>
        <w:rPr>
          <w:rFonts w:cs="2  Mitra"/>
          <w:sz w:val="28"/>
          <w:szCs w:val="28"/>
          <w:rtl/>
          <w:lang w:bidi="fa-IR"/>
        </w:rPr>
      </w:pPr>
      <w:r>
        <w:rPr>
          <w:rFonts w:cs="2  Mitra" w:hint="cs"/>
          <w:sz w:val="28"/>
          <w:szCs w:val="28"/>
          <w:rtl/>
          <w:lang w:bidi="fa-IR"/>
        </w:rPr>
        <w:t>اين بحث، بحثی مربوط به منطوق کلام است و ارتباطی به بحث از مفهوم آن ندارد. فلذا می</w:t>
      </w:r>
      <w:r>
        <w:rPr>
          <w:rFonts w:cs="2  Mitra" w:hint="cs"/>
          <w:sz w:val="28"/>
          <w:szCs w:val="28"/>
          <w:rtl/>
          <w:lang w:bidi="fa-IR"/>
        </w:rPr>
        <w:softHyphen/>
        <w:t>توان ادعا کرد که بحث از آن ربطی به علم اصول نداشته و مربوط به لغت است. اما از آنجا که تبیین اين مسأله دارای نتايج فقهی است و محل مناسب</w:t>
      </w:r>
      <w:r>
        <w:rPr>
          <w:rFonts w:cs="2  Mitra" w:hint="cs"/>
          <w:sz w:val="28"/>
          <w:szCs w:val="28"/>
          <w:rtl/>
          <w:lang w:bidi="fa-IR"/>
        </w:rPr>
        <w:softHyphen/>
        <w:t>تری که بتوان از آن بحث کرد، وجود ندارد، بهتر است که در همين جا به بیان آن پرداخته شود.</w:t>
      </w:r>
    </w:p>
    <w:p w14:paraId="13390DC8" w14:textId="77777777" w:rsidR="00575923" w:rsidRDefault="00575923" w:rsidP="00575923">
      <w:pPr>
        <w:widowControl w:val="0"/>
        <w:bidi/>
        <w:spacing w:before="240" w:line="252" w:lineRule="auto"/>
        <w:ind w:firstLine="289"/>
        <w:jc w:val="both"/>
        <w:rPr>
          <w:rFonts w:cs="2  Mitra" w:hint="cs"/>
          <w:sz w:val="28"/>
          <w:szCs w:val="28"/>
          <w:rtl/>
          <w:lang w:bidi="fa-IR"/>
        </w:rPr>
      </w:pPr>
      <w:r>
        <w:rPr>
          <w:rFonts w:cs="2  Mitra" w:hint="cs"/>
          <w:sz w:val="28"/>
          <w:szCs w:val="28"/>
          <w:rtl/>
          <w:lang w:bidi="fa-IR"/>
        </w:rPr>
        <w:t>البته عضدی احتمالی در مسأله داده است که ظاهر آن اين است که بحث از مفهوم غايت، چيزی بجز بحث از اين نيست که آيا غايت داخل در مغيّی هست يا خير.</w:t>
      </w:r>
    </w:p>
    <w:p w14:paraId="0ED25D58" w14:textId="77777777" w:rsidR="00575923" w:rsidRDefault="00575923" w:rsidP="00575923">
      <w:pPr>
        <w:widowControl w:val="0"/>
        <w:bidi/>
        <w:spacing w:before="240" w:line="252" w:lineRule="auto"/>
        <w:ind w:firstLine="289"/>
        <w:jc w:val="both"/>
        <w:rPr>
          <w:rFonts w:cs="Abz-2 (Badr)" w:hint="cs"/>
          <w:sz w:val="28"/>
          <w:szCs w:val="28"/>
          <w:rtl/>
          <w:lang w:bidi="fa-IR"/>
        </w:rPr>
      </w:pPr>
      <w:r>
        <w:rPr>
          <w:rFonts w:cs="2  Mitra" w:hint="cs"/>
          <w:sz w:val="28"/>
          <w:szCs w:val="28"/>
          <w:rtl/>
          <w:lang w:bidi="fa-IR"/>
        </w:rPr>
        <w:t>وی در اين خصوص می</w:t>
      </w:r>
      <w:r>
        <w:rPr>
          <w:rFonts w:cs="2  Mitra" w:hint="cs"/>
          <w:sz w:val="28"/>
          <w:szCs w:val="28"/>
          <w:rtl/>
          <w:lang w:bidi="fa-IR"/>
        </w:rPr>
        <w:softHyphen/>
        <w:t>گويد: «</w:t>
      </w:r>
      <w:r>
        <w:rPr>
          <w:rFonts w:cs="Abz-2 (Badr)" w:hint="cs"/>
          <w:sz w:val="28"/>
          <w:szCs w:val="28"/>
          <w:rtl/>
        </w:rPr>
        <w:t>قد يقال: الكلام في الآخر نفسه لا فيما بعد الآخر، ففي قوله</w:t>
      </w:r>
      <w:r>
        <w:rPr>
          <w:rFonts w:cs="Abz-2 (Badr)" w:hint="cs"/>
          <w:sz w:val="28"/>
          <w:szCs w:val="28"/>
          <w:rtl/>
          <w:lang w:bidi="fa-IR"/>
        </w:rPr>
        <w:t xml:space="preserve">: </w:t>
      </w:r>
      <w:r>
        <w:rPr>
          <w:rFonts w:cs="QuranTaha" w:hint="cs"/>
          <w:sz w:val="26"/>
          <w:szCs w:val="26"/>
          <w:rtl/>
          <w:lang w:bidi="fa-IR"/>
        </w:rPr>
        <w:t>«</w:t>
      </w:r>
      <w:r>
        <w:rPr>
          <w:rFonts w:cs="QuranTaha" w:hint="cs"/>
          <w:sz w:val="26"/>
          <w:szCs w:val="26"/>
          <w:rtl/>
        </w:rPr>
        <w:t>إِلَى الْمَرَافِقِ</w:t>
      </w:r>
      <w:r>
        <w:rPr>
          <w:rFonts w:cs="QuranTaha" w:hint="cs"/>
          <w:sz w:val="26"/>
          <w:szCs w:val="26"/>
          <w:rtl/>
          <w:lang w:bidi="fa-IR"/>
        </w:rPr>
        <w:t>»</w:t>
      </w:r>
      <w:r>
        <w:rPr>
          <w:rStyle w:val="FootnoteReference"/>
          <w:rFonts w:cs="2  Mitra"/>
          <w:sz w:val="28"/>
          <w:szCs w:val="28"/>
          <w:rtl/>
          <w:lang w:bidi="fa-IR"/>
        </w:rPr>
        <w:footnoteReference w:id="2"/>
      </w:r>
      <w:r>
        <w:rPr>
          <w:rFonts w:cs="Abz-2 (Badr)" w:hint="cs"/>
          <w:sz w:val="28"/>
          <w:szCs w:val="28"/>
          <w:rtl/>
          <w:lang w:bidi="fa-IR"/>
        </w:rPr>
        <w:t xml:space="preserve">‏ </w:t>
      </w:r>
      <w:r>
        <w:rPr>
          <w:rFonts w:cs="Abz-2 (Badr)" w:hint="cs"/>
          <w:sz w:val="28"/>
          <w:szCs w:val="28"/>
          <w:rtl/>
        </w:rPr>
        <w:t>المرافق آخر وليس النزاع في دخول ما بعد المرفق.»</w:t>
      </w:r>
      <w:r>
        <w:rPr>
          <w:rStyle w:val="FootnoteReference"/>
          <w:rFonts w:cs="2  Mitra"/>
          <w:sz w:val="28"/>
          <w:szCs w:val="28"/>
          <w:rtl/>
          <w:lang w:bidi="fa-IR"/>
        </w:rPr>
        <w:footnoteReference w:id="3"/>
      </w:r>
      <w:r>
        <w:rPr>
          <w:rFonts w:cs="Abz-2 (Badr)" w:hint="cs"/>
          <w:sz w:val="28"/>
          <w:szCs w:val="28"/>
          <w:rtl/>
          <w:lang w:bidi="fa-IR"/>
        </w:rPr>
        <w:t>‏</w:t>
      </w:r>
    </w:p>
    <w:p w14:paraId="3753A879" w14:textId="77777777" w:rsidR="00575923" w:rsidRDefault="00575923" w:rsidP="00575923">
      <w:pPr>
        <w:widowControl w:val="0"/>
        <w:bidi/>
        <w:spacing w:before="240" w:line="264" w:lineRule="auto"/>
        <w:ind w:firstLine="289"/>
        <w:jc w:val="both"/>
        <w:rPr>
          <w:rFonts w:cs="Abz-2 (Badr)" w:hint="cs"/>
          <w:sz w:val="28"/>
          <w:szCs w:val="28"/>
          <w:rtl/>
        </w:rPr>
      </w:pPr>
      <w:r>
        <w:rPr>
          <w:rFonts w:cs="Abz-2 (Badr)" w:hint="cs"/>
          <w:sz w:val="28"/>
          <w:szCs w:val="28"/>
          <w:rtl/>
          <w:lang w:bidi="fa-IR"/>
        </w:rPr>
        <w:t>تفتازانی در توضيح اين مطلب می</w:t>
      </w:r>
      <w:r>
        <w:rPr>
          <w:rFonts w:cs="Abz-2 (Badr)" w:hint="cs"/>
          <w:sz w:val="28"/>
          <w:szCs w:val="28"/>
          <w:rtl/>
          <w:lang w:bidi="fa-IR"/>
        </w:rPr>
        <w:softHyphen/>
        <w:t>گويد: «</w:t>
      </w:r>
      <w:r>
        <w:rPr>
          <w:rFonts w:cs="Abz-2 (Badr)" w:hint="cs"/>
          <w:sz w:val="28"/>
          <w:szCs w:val="28"/>
          <w:rtl/>
        </w:rPr>
        <w:t>يعني: سلّمنا أنّ ما بعد الغاية لو دخل لم تكن الغاية آخراً، لكنّ النزاع لم يقع فيه، إذ لم يقل أحد بدخول ما بعد المرافق في الغسل، وإنّما النزاع في نفس الغاية، فإنّ غيبوبة الشمس ونفس المرافق هل يلزم انتفاء الحكم فيه؟ ولا نعني بمفهوم الغاية سوى أنّها لا تدخل في الحكم، بل ينتفي الحكم عند تحقّقها.</w:t>
      </w:r>
    </w:p>
    <w:p w14:paraId="1F7309F1" w14:textId="77777777" w:rsidR="00575923" w:rsidRDefault="00575923" w:rsidP="00575923">
      <w:pPr>
        <w:widowControl w:val="0"/>
        <w:bidi/>
        <w:spacing w:before="240" w:line="264" w:lineRule="auto"/>
        <w:ind w:firstLine="289"/>
        <w:jc w:val="both"/>
        <w:rPr>
          <w:rFonts w:cs="Abz-2 (Badr)" w:hint="cs"/>
          <w:sz w:val="28"/>
          <w:szCs w:val="28"/>
          <w:rtl/>
          <w:lang w:bidi="fa-IR"/>
        </w:rPr>
      </w:pPr>
      <w:r>
        <w:rPr>
          <w:rFonts w:cs="Abz-2 (Badr)" w:hint="cs"/>
          <w:sz w:val="28"/>
          <w:szCs w:val="28"/>
          <w:rtl/>
        </w:rPr>
        <w:lastRenderedPageBreak/>
        <w:t>هذا، ولكن عبارة الآمدى وغيره أنّ مفهوم الغاية نفي الحكم فيما بعد الغاية.</w:t>
      </w:r>
      <w:r>
        <w:rPr>
          <w:rFonts w:cs="2  Mitra" w:hint="cs"/>
          <w:sz w:val="28"/>
          <w:szCs w:val="28"/>
          <w:rtl/>
          <w:lang w:bidi="fa-IR"/>
        </w:rPr>
        <w:t>»</w:t>
      </w:r>
      <w:r>
        <w:rPr>
          <w:rStyle w:val="FootnoteReference"/>
          <w:rFonts w:cs="2  Mitra"/>
          <w:sz w:val="28"/>
          <w:szCs w:val="28"/>
          <w:rtl/>
          <w:lang w:bidi="fa-IR"/>
        </w:rPr>
        <w:footnoteReference w:id="4"/>
      </w:r>
      <w:r>
        <w:rPr>
          <w:rFonts w:cs="Abz-2 (Badr)" w:hint="cs"/>
          <w:sz w:val="28"/>
          <w:szCs w:val="28"/>
          <w:rtl/>
          <w:lang w:bidi="fa-IR"/>
        </w:rPr>
        <w:t>‏</w:t>
      </w:r>
    </w:p>
    <w:p w14:paraId="1B51302E" w14:textId="77777777" w:rsidR="00575923" w:rsidRDefault="00575923" w:rsidP="00575923">
      <w:pPr>
        <w:widowControl w:val="0"/>
        <w:bidi/>
        <w:spacing w:before="240" w:line="264" w:lineRule="auto"/>
        <w:ind w:firstLine="289"/>
        <w:jc w:val="both"/>
        <w:rPr>
          <w:rFonts w:cs="Abz-2 (Badr)" w:hint="cs"/>
          <w:sz w:val="28"/>
          <w:szCs w:val="28"/>
          <w:rtl/>
        </w:rPr>
      </w:pPr>
      <w:r>
        <w:rPr>
          <w:rFonts w:cs="2  Mitra" w:hint="cs"/>
          <w:sz w:val="28"/>
          <w:szCs w:val="28"/>
          <w:rtl/>
          <w:lang w:bidi="fa-IR"/>
        </w:rPr>
        <w:t>مرحوم صاحب هدايه با ذکر اين مطلب و در اشکال بر آن می</w:t>
      </w:r>
      <w:r>
        <w:rPr>
          <w:rFonts w:cs="2  Mitra" w:hint="cs"/>
          <w:sz w:val="28"/>
          <w:szCs w:val="28"/>
          <w:rtl/>
          <w:lang w:bidi="fa-IR"/>
        </w:rPr>
        <w:softHyphen/>
        <w:t>فرماید: «</w:t>
      </w:r>
      <w:r>
        <w:rPr>
          <w:rFonts w:cs="Abz-2 (Badr)" w:hint="cs"/>
          <w:sz w:val="28"/>
          <w:szCs w:val="28"/>
          <w:rtl/>
        </w:rPr>
        <w:t>ربّما يسبق إلى بعض الأوهام أنّ الخلاف في مفهوم الغاية إنّما وقع في نفس الغاية، وأمّا ما بعد الغاية فلا خلاف في مخالفته لما قبلها في الحكم...</w:t>
      </w:r>
    </w:p>
    <w:p w14:paraId="14B20F15" w14:textId="77777777" w:rsidR="00575923" w:rsidRDefault="00575923" w:rsidP="00575923">
      <w:pPr>
        <w:widowControl w:val="0"/>
        <w:bidi/>
        <w:spacing w:before="240" w:line="264" w:lineRule="auto"/>
        <w:ind w:firstLine="289"/>
        <w:jc w:val="both"/>
        <w:rPr>
          <w:rFonts w:cs="Abz-2 (Badr)"/>
          <w:sz w:val="28"/>
          <w:szCs w:val="28"/>
        </w:rPr>
      </w:pPr>
      <w:r>
        <w:rPr>
          <w:rFonts w:cs="Abz-2 (Badr)" w:hint="cs"/>
          <w:sz w:val="28"/>
          <w:szCs w:val="28"/>
          <w:rtl/>
        </w:rPr>
        <w:t>وربّما يرشد إلى هذا الكلام ما ذكره العلامة في غير موضع من كتبه، والرازي من التفصيل في محلّ المسألة بين صورة انفصال الغاية عن المغيّی بمفصّل محسوس وغيرها، فإنّه إنّما يناسب الكلام في نفس الغاية، أمّا فيما بعدها فلا يعقل الفرق بين الصورتين.</w:t>
      </w:r>
    </w:p>
    <w:p w14:paraId="0DF95F37" w14:textId="77777777" w:rsidR="00575923" w:rsidRDefault="00575923" w:rsidP="00575923">
      <w:pPr>
        <w:widowControl w:val="0"/>
        <w:bidi/>
        <w:spacing w:before="240" w:line="264" w:lineRule="auto"/>
        <w:ind w:firstLine="289"/>
        <w:jc w:val="both"/>
        <w:rPr>
          <w:rFonts w:cs="Abz-2 (Badr)" w:hint="cs"/>
          <w:sz w:val="28"/>
          <w:szCs w:val="28"/>
          <w:rtl/>
        </w:rPr>
      </w:pPr>
      <w:r>
        <w:rPr>
          <w:rFonts w:cs="Abz-2 (Badr)" w:hint="cs"/>
          <w:sz w:val="28"/>
          <w:szCs w:val="28"/>
          <w:rtl/>
        </w:rPr>
        <w:t>ولا يخفى عليك ما فيه، فإنّ بين المسألتين بوناً بعيداً، إذ النزاع في أحدهما في دلالة المنطوق وفي الأُخرى في المفهوم، والخلاف في الأُولى إنّما هو في دلالة الكلام على موافقة الغاية للمغيّی في الحكم ودخولها فيه وعدمها، وفي الثانية في دلالته على مخالفة ما بعدها ـ لا قبلها ـ فيه وعدمها بعد القطع بعدم دلالته على توافقهما في الحكم.</w:t>
      </w:r>
    </w:p>
    <w:p w14:paraId="32C67881" w14:textId="77777777" w:rsidR="00575923" w:rsidRDefault="00575923" w:rsidP="00575923">
      <w:pPr>
        <w:widowControl w:val="0"/>
        <w:bidi/>
        <w:spacing w:before="240" w:line="264" w:lineRule="auto"/>
        <w:ind w:firstLine="289"/>
        <w:jc w:val="both"/>
        <w:rPr>
          <w:rFonts w:cs="Abz-2 (Badr)" w:hint="cs"/>
          <w:sz w:val="28"/>
          <w:szCs w:val="28"/>
          <w:rtl/>
        </w:rPr>
      </w:pPr>
      <w:r>
        <w:rPr>
          <w:rFonts w:cs="Abz-2 (Badr)" w:hint="cs"/>
          <w:sz w:val="28"/>
          <w:szCs w:val="28"/>
          <w:rtl/>
        </w:rPr>
        <w:t>فنفي الخلاف عن مخالفته لما قبلها في الحكم كما عن بعضهم ممنوع جدّاً بل فاسد قطعاً، إذ الخلاف في ذلك بين الخاصّة والعامّة ظاهر مشهور وينادي به عباراتهم وأدلّتهم، وعبارة المصنّف رحمه الله وغيره من الأُصوليّين كالسيّد والفاضلين والعميدي والآمدي والرازي وغيرهم في عنوان المسألة وبيان أدلّة الفريقين صريحة في ذلك.</w:t>
      </w:r>
    </w:p>
    <w:p w14:paraId="0309B732" w14:textId="77777777" w:rsidR="00575923" w:rsidRDefault="00575923" w:rsidP="00575923">
      <w:pPr>
        <w:widowControl w:val="0"/>
        <w:bidi/>
        <w:spacing w:before="240" w:line="264" w:lineRule="auto"/>
        <w:ind w:firstLine="289"/>
        <w:jc w:val="both"/>
        <w:rPr>
          <w:rFonts w:cs="Abz-2 (Badr)" w:hint="cs"/>
          <w:sz w:val="28"/>
          <w:szCs w:val="28"/>
          <w:rtl/>
        </w:rPr>
      </w:pPr>
      <w:r>
        <w:rPr>
          <w:rFonts w:cs="Abz-2 (Badr)" w:hint="cs"/>
          <w:spacing w:val="-10"/>
          <w:sz w:val="28"/>
          <w:szCs w:val="28"/>
          <w:rtl/>
        </w:rPr>
        <w:t>نعم، ما ذكر من أنّه لم يقل أحد بمشاركة ما بعدها لما قبلها في الحكم ظاهر، ولا ربط له بما هو المقصود من إفادة المعنى المفهومي.</w:t>
      </w:r>
      <w:r>
        <w:rPr>
          <w:rFonts w:cs="2  Mitra" w:hint="cs"/>
          <w:spacing w:val="-10"/>
          <w:sz w:val="28"/>
          <w:szCs w:val="28"/>
          <w:rtl/>
          <w:lang w:bidi="fa-IR"/>
        </w:rPr>
        <w:t>»</w:t>
      </w:r>
      <w:r>
        <w:rPr>
          <w:rStyle w:val="FootnoteReference"/>
          <w:rFonts w:cs="2  Mitra"/>
          <w:sz w:val="28"/>
          <w:szCs w:val="28"/>
          <w:rtl/>
          <w:lang w:bidi="fa-IR"/>
        </w:rPr>
        <w:footnoteReference w:id="5"/>
      </w:r>
      <w:r>
        <w:rPr>
          <w:rFonts w:cs="Abz-2 (Badr)" w:hint="cs"/>
          <w:sz w:val="28"/>
          <w:szCs w:val="28"/>
          <w:rtl/>
          <w:lang w:bidi="fa-IR"/>
        </w:rPr>
        <w:t>‏</w:t>
      </w:r>
    </w:p>
    <w:p w14:paraId="26C5B3D6" w14:textId="77777777" w:rsidR="00575923" w:rsidRDefault="00575923" w:rsidP="00575923">
      <w:pPr>
        <w:widowControl w:val="0"/>
        <w:bidi/>
        <w:spacing w:before="240" w:line="264" w:lineRule="auto"/>
        <w:ind w:firstLine="289"/>
        <w:jc w:val="both"/>
        <w:rPr>
          <w:rFonts w:cs="2  Mitra" w:hint="cs"/>
          <w:sz w:val="28"/>
          <w:szCs w:val="28"/>
          <w:rtl/>
          <w:lang w:bidi="fa-IR"/>
        </w:rPr>
      </w:pPr>
      <w:r>
        <w:rPr>
          <w:rFonts w:cs="2  Mitra" w:hint="cs"/>
          <w:sz w:val="28"/>
          <w:szCs w:val="28"/>
          <w:rtl/>
          <w:lang w:bidi="fa-IR"/>
        </w:rPr>
        <w:t>حق نيز در اين مطلب با مرحوم صاحب هدايه است.</w:t>
      </w:r>
    </w:p>
    <w:p w14:paraId="0990D4D7" w14:textId="77777777" w:rsidR="00575923" w:rsidRDefault="00575923" w:rsidP="00575923">
      <w:pPr>
        <w:widowControl w:val="0"/>
        <w:bidi/>
        <w:spacing w:before="240" w:line="264" w:lineRule="auto"/>
        <w:ind w:firstLine="289"/>
        <w:jc w:val="both"/>
        <w:rPr>
          <w:rFonts w:cs="2  Mitra" w:hint="cs"/>
          <w:sz w:val="28"/>
          <w:szCs w:val="28"/>
          <w:rtl/>
          <w:lang w:bidi="fa-IR"/>
        </w:rPr>
      </w:pPr>
      <w:r>
        <w:rPr>
          <w:rFonts w:cs="2  Mitra" w:hint="cs"/>
          <w:sz w:val="28"/>
          <w:szCs w:val="28"/>
          <w:rtl/>
          <w:lang w:bidi="fa-IR"/>
        </w:rPr>
        <w:t>اما در خصوص اين که غايت آيا داخل در مغيّی هست يا خير، چهار قول به اصحاب نسبت داده شده است</w:t>
      </w:r>
      <w:r>
        <w:rPr>
          <w:rStyle w:val="FootnoteReference"/>
          <w:rFonts w:cs="2  Mitra"/>
          <w:sz w:val="28"/>
          <w:szCs w:val="28"/>
          <w:rtl/>
          <w:lang w:bidi="fa-IR"/>
        </w:rPr>
        <w:footnoteReference w:id="6"/>
      </w:r>
      <w:r>
        <w:rPr>
          <w:rFonts w:cs="Abz-2 (Badr)" w:hint="cs"/>
          <w:sz w:val="28"/>
          <w:szCs w:val="28"/>
          <w:rtl/>
          <w:lang w:bidi="fa-IR"/>
        </w:rPr>
        <w:t>‏</w:t>
      </w:r>
      <w:r>
        <w:rPr>
          <w:rFonts w:cs="2  Mitra" w:hint="cs"/>
          <w:sz w:val="28"/>
          <w:szCs w:val="28"/>
          <w:rtl/>
          <w:lang w:bidi="fa-IR"/>
        </w:rPr>
        <w:t>:</w:t>
      </w:r>
    </w:p>
    <w:p w14:paraId="1441FA26" w14:textId="77777777" w:rsidR="00575923" w:rsidRDefault="00575923" w:rsidP="00575923">
      <w:pPr>
        <w:widowControl w:val="0"/>
        <w:bidi/>
        <w:spacing w:before="240" w:line="264" w:lineRule="auto"/>
        <w:ind w:firstLine="289"/>
        <w:jc w:val="both"/>
        <w:rPr>
          <w:rFonts w:cs="2  Mitra" w:hint="cs"/>
          <w:sz w:val="28"/>
          <w:szCs w:val="28"/>
          <w:rtl/>
          <w:lang w:bidi="fa-IR"/>
        </w:rPr>
      </w:pPr>
      <w:r>
        <w:rPr>
          <w:rFonts w:cs="2  Mitra" w:hint="cs"/>
          <w:sz w:val="28"/>
          <w:szCs w:val="28"/>
          <w:rtl/>
          <w:lang w:bidi="fa-IR"/>
        </w:rPr>
        <w:lastRenderedPageBreak/>
        <w:t>اول: غايت مطلقاً داخل در مغيّی نيست.</w:t>
      </w:r>
    </w:p>
    <w:p w14:paraId="42264691" w14:textId="77777777" w:rsidR="00575923" w:rsidRDefault="00575923" w:rsidP="00575923">
      <w:pPr>
        <w:widowControl w:val="0"/>
        <w:bidi/>
        <w:spacing w:before="240" w:line="261" w:lineRule="auto"/>
        <w:ind w:firstLine="289"/>
        <w:jc w:val="both"/>
        <w:rPr>
          <w:rFonts w:cs="2  Mitra" w:hint="cs"/>
          <w:sz w:val="28"/>
          <w:szCs w:val="28"/>
          <w:rtl/>
          <w:lang w:bidi="fa-IR"/>
        </w:rPr>
      </w:pPr>
      <w:r>
        <w:rPr>
          <w:rFonts w:cs="2  Mitra" w:hint="cs"/>
          <w:sz w:val="28"/>
          <w:szCs w:val="28"/>
          <w:rtl/>
          <w:lang w:bidi="fa-IR"/>
        </w:rPr>
        <w:t>دوم: غايت مطلقاً داخل در مغيّی هست.</w:t>
      </w:r>
    </w:p>
    <w:p w14:paraId="516DFC72" w14:textId="77777777" w:rsidR="00575923" w:rsidRDefault="00575923" w:rsidP="00575923">
      <w:pPr>
        <w:widowControl w:val="0"/>
        <w:bidi/>
        <w:spacing w:before="240" w:line="261" w:lineRule="auto"/>
        <w:ind w:firstLine="289"/>
        <w:jc w:val="both"/>
        <w:rPr>
          <w:rFonts w:cs="2  Mitra" w:hint="cs"/>
          <w:sz w:val="28"/>
          <w:szCs w:val="28"/>
          <w:rtl/>
          <w:lang w:bidi="fa-IR"/>
        </w:rPr>
      </w:pPr>
      <w:r>
        <w:rPr>
          <w:rFonts w:cs="2  Mitra" w:hint="cs"/>
          <w:sz w:val="28"/>
          <w:szCs w:val="28"/>
          <w:rtl/>
          <w:lang w:bidi="fa-IR"/>
        </w:rPr>
        <w:t>سوم: غايت اگر از جنس مغيّی باشد، داخل در آن است وگرنه خير.</w:t>
      </w:r>
    </w:p>
    <w:p w14:paraId="037A7E1B" w14:textId="77777777" w:rsidR="00575923" w:rsidRDefault="00575923" w:rsidP="00575923">
      <w:pPr>
        <w:widowControl w:val="0"/>
        <w:bidi/>
        <w:spacing w:before="240" w:line="261" w:lineRule="auto"/>
        <w:ind w:firstLine="289"/>
        <w:jc w:val="both"/>
        <w:rPr>
          <w:rFonts w:cs="2  Mitra" w:hint="cs"/>
          <w:spacing w:val="-6"/>
          <w:sz w:val="28"/>
          <w:szCs w:val="28"/>
          <w:rtl/>
          <w:lang w:bidi="fa-IR"/>
        </w:rPr>
      </w:pPr>
      <w:r>
        <w:rPr>
          <w:rFonts w:cs="2  Mitra" w:hint="cs"/>
          <w:spacing w:val="-6"/>
          <w:sz w:val="28"/>
          <w:szCs w:val="28"/>
          <w:rtl/>
          <w:lang w:bidi="fa-IR"/>
        </w:rPr>
        <w:t>چهارم: غايتی که با لفظ «</w:t>
      </w:r>
      <w:r>
        <w:rPr>
          <w:rFonts w:cs="Abz-2 (Badr)" w:hint="cs"/>
          <w:spacing w:val="-6"/>
          <w:sz w:val="28"/>
          <w:szCs w:val="28"/>
          <w:rtl/>
          <w:lang w:bidi="fa-IR"/>
        </w:rPr>
        <w:t>حتّی</w:t>
      </w:r>
      <w:r>
        <w:rPr>
          <w:rFonts w:cs="2  Mitra" w:hint="cs"/>
          <w:spacing w:val="-6"/>
          <w:sz w:val="28"/>
          <w:szCs w:val="28"/>
          <w:rtl/>
          <w:lang w:bidi="fa-IR"/>
        </w:rPr>
        <w:t>» بيان می</w:t>
      </w:r>
      <w:r>
        <w:rPr>
          <w:rFonts w:cs="2  Mitra" w:hint="cs"/>
          <w:spacing w:val="-6"/>
          <w:sz w:val="28"/>
          <w:szCs w:val="28"/>
          <w:rtl/>
          <w:lang w:bidi="fa-IR"/>
        </w:rPr>
        <w:softHyphen/>
        <w:t>شود، داخل در مغيّی است و غايتی که با لفظ «</w:t>
      </w:r>
      <w:r>
        <w:rPr>
          <w:rFonts w:cs="Abz-2 (Badr)" w:hint="cs"/>
          <w:spacing w:val="-6"/>
          <w:sz w:val="28"/>
          <w:szCs w:val="28"/>
          <w:rtl/>
          <w:lang w:bidi="fa-IR"/>
        </w:rPr>
        <w:t>إلی</w:t>
      </w:r>
      <w:r>
        <w:rPr>
          <w:rFonts w:cs="2  Mitra" w:hint="cs"/>
          <w:spacing w:val="-6"/>
          <w:sz w:val="28"/>
          <w:szCs w:val="28"/>
          <w:rtl/>
          <w:lang w:bidi="fa-IR"/>
        </w:rPr>
        <w:t>» عنوان می</w:t>
      </w:r>
      <w:r>
        <w:rPr>
          <w:rFonts w:cs="2  Mitra" w:hint="cs"/>
          <w:spacing w:val="-6"/>
          <w:sz w:val="28"/>
          <w:szCs w:val="28"/>
          <w:rtl/>
          <w:lang w:bidi="fa-IR"/>
        </w:rPr>
        <w:softHyphen/>
        <w:t>شود، داخل در آن نيست.</w:t>
      </w:r>
    </w:p>
    <w:p w14:paraId="0D447960" w14:textId="77777777" w:rsidR="00575923" w:rsidRDefault="00575923" w:rsidP="00575923">
      <w:pPr>
        <w:widowControl w:val="0"/>
        <w:bidi/>
        <w:spacing w:before="240" w:line="261" w:lineRule="auto"/>
        <w:ind w:firstLine="289"/>
        <w:jc w:val="both"/>
        <w:rPr>
          <w:rFonts w:cs="2  Mitra"/>
          <w:spacing w:val="-6"/>
          <w:sz w:val="28"/>
          <w:szCs w:val="28"/>
          <w:lang w:bidi="fa-IR"/>
        </w:rPr>
      </w:pPr>
      <w:r>
        <w:rPr>
          <w:rFonts w:cs="2  Mitra" w:hint="cs"/>
          <w:spacing w:val="-6"/>
          <w:sz w:val="28"/>
          <w:szCs w:val="28"/>
          <w:rtl/>
          <w:lang w:bidi="fa-IR"/>
        </w:rPr>
        <w:t>البته قول پنجمی نیز وجود دارد و آن اين که غايت، چنانچه مربوط به حکم باشد، خارج از مغيّی است و چنانچه مربوط به فعل باشد، داخل در مغيّی است.</w:t>
      </w:r>
    </w:p>
    <w:p w14:paraId="16F107C2" w14:textId="77777777" w:rsidR="00575923" w:rsidRDefault="00575923" w:rsidP="00575923">
      <w:pPr>
        <w:widowControl w:val="0"/>
        <w:bidi/>
        <w:spacing w:before="240" w:line="261" w:lineRule="auto"/>
        <w:ind w:firstLine="289"/>
        <w:jc w:val="both"/>
        <w:rPr>
          <w:rFonts w:cs="2  Mitra" w:hint="cs"/>
          <w:sz w:val="28"/>
          <w:szCs w:val="28"/>
          <w:rtl/>
          <w:lang w:bidi="fa-IR"/>
        </w:rPr>
      </w:pPr>
      <w:r>
        <w:rPr>
          <w:rFonts w:cs="2  Mitra" w:hint="cs"/>
          <w:spacing w:val="-6"/>
          <w:sz w:val="28"/>
          <w:szCs w:val="28"/>
          <w:rtl/>
          <w:lang w:bidi="fa-IR"/>
        </w:rPr>
        <w:t>از جلسه آينده به بررسی ادله قائلين به اقوال مذکور خواهيم پرداخت ان شاء الله.</w:t>
      </w:r>
    </w:p>
    <w:p w14:paraId="7D9979DE" w14:textId="26D41A3F" w:rsidR="001B24FC" w:rsidRPr="00575923" w:rsidRDefault="001B24FC" w:rsidP="00575923">
      <w:pPr>
        <w:rPr>
          <w:rtl/>
        </w:rPr>
      </w:pPr>
    </w:p>
    <w:sectPr w:rsidR="001B24FC" w:rsidRPr="00575923"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5276D" w14:textId="77777777" w:rsidR="00D32AF4" w:rsidRDefault="00D32AF4" w:rsidP="00C336C5">
      <w:pPr>
        <w:spacing w:after="0" w:line="240" w:lineRule="auto"/>
      </w:pPr>
      <w:r>
        <w:separator/>
      </w:r>
    </w:p>
  </w:endnote>
  <w:endnote w:type="continuationSeparator" w:id="0">
    <w:p w14:paraId="1FA3B823" w14:textId="77777777" w:rsidR="00D32AF4" w:rsidRDefault="00D32AF4" w:rsidP="00C336C5">
      <w:pPr>
        <w:spacing w:after="0" w:line="240" w:lineRule="auto"/>
      </w:pPr>
      <w:r>
        <w:continuationSeparator/>
      </w:r>
    </w:p>
  </w:endnote>
  <w:endnote w:type="continuationNotice" w:id="1">
    <w:p w14:paraId="19D2D0EF" w14:textId="77777777" w:rsidR="00D32AF4" w:rsidRDefault="00D32AF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5F4E5" w14:textId="77777777" w:rsidR="00575923" w:rsidRDefault="005759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B23EB" w14:textId="77777777" w:rsidR="00575923" w:rsidRDefault="005759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F5CDE" w14:textId="77777777" w:rsidR="00D32AF4" w:rsidRDefault="00D32AF4" w:rsidP="00C336C5">
      <w:pPr>
        <w:bidi/>
        <w:spacing w:after="0" w:line="240" w:lineRule="auto"/>
      </w:pPr>
      <w:r>
        <w:separator/>
      </w:r>
    </w:p>
  </w:footnote>
  <w:footnote w:type="continuationSeparator" w:id="0">
    <w:p w14:paraId="76025F30" w14:textId="77777777" w:rsidR="00D32AF4" w:rsidRDefault="00D32AF4" w:rsidP="00C336C5">
      <w:pPr>
        <w:spacing w:after="0" w:line="240" w:lineRule="auto"/>
      </w:pPr>
      <w:r>
        <w:continuationSeparator/>
      </w:r>
    </w:p>
  </w:footnote>
  <w:footnote w:type="continuationNotice" w:id="1">
    <w:p w14:paraId="39760CB0" w14:textId="77777777" w:rsidR="00D32AF4" w:rsidRDefault="00D32AF4">
      <w:pPr>
        <w:spacing w:after="0" w:line="240" w:lineRule="auto"/>
      </w:pPr>
    </w:p>
  </w:footnote>
  <w:footnote w:id="2">
    <w:p w14:paraId="37C35393" w14:textId="77777777" w:rsidR="00575923" w:rsidRDefault="00575923" w:rsidP="00575923">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شرح العضد،ص264.</w:t>
      </w:r>
    </w:p>
  </w:footnote>
  <w:footnote w:id="3">
    <w:p w14:paraId="5B6A0DC9" w14:textId="77777777" w:rsidR="00575923" w:rsidRDefault="00575923" w:rsidP="00575923">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المائدة(5):6.</w:t>
      </w:r>
    </w:p>
  </w:footnote>
  <w:footnote w:id="4">
    <w:p w14:paraId="0E9FBAA1" w14:textId="77777777" w:rsidR="00575923" w:rsidRDefault="00575923" w:rsidP="00575923">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شرح العضد ومعه حاشية السعد والجرجاني،ج3،ص92.</w:t>
      </w:r>
    </w:p>
  </w:footnote>
  <w:footnote w:id="5">
    <w:p w14:paraId="20C76777" w14:textId="77777777" w:rsidR="00575923" w:rsidRDefault="00575923" w:rsidP="00575923">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هداية المسترشدين،ج2،ص512 و 513.</w:t>
      </w:r>
    </w:p>
  </w:footnote>
  <w:footnote w:id="6">
    <w:p w14:paraId="1CD903D1" w14:textId="77777777" w:rsidR="00575923" w:rsidRDefault="00575923" w:rsidP="00575923">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مطارح الأنظار،ج2،ص96 و 97.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5B07C" w14:textId="77777777" w:rsidR="00575923" w:rsidRDefault="005759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88DEF08"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575923">
                            <w:rPr>
                              <w:rFonts w:cs="B Mehr" w:hint="cs"/>
                              <w:rtl/>
                              <w:lang w:bidi="fa-IR"/>
                            </w:rPr>
                            <w:t>دو</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575923">
                            <w:rPr>
                              <w:rFonts w:cs="B Mehr" w:hint="cs"/>
                              <w:rtl/>
                              <w:lang w:bidi="fa-IR"/>
                            </w:rPr>
                            <w:t>15</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88DEF08"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575923">
                      <w:rPr>
                        <w:rFonts w:cs="B Mehr" w:hint="cs"/>
                        <w:rtl/>
                        <w:lang w:bidi="fa-IR"/>
                      </w:rPr>
                      <w:t>دو</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575923">
                      <w:rPr>
                        <w:rFonts w:cs="B Mehr" w:hint="cs"/>
                        <w:rtl/>
                        <w:lang w:bidi="fa-IR"/>
                      </w:rPr>
                      <w:t>15</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AF963" w14:textId="77777777" w:rsidR="00575923" w:rsidRDefault="0057592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4088</TotalTime>
  <Pages>1</Pages>
  <Words>433</Words>
  <Characters>2473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1155</cp:revision>
  <cp:lastPrinted>2025-04-15T09:36:00Z</cp:lastPrinted>
  <dcterms:created xsi:type="dcterms:W3CDTF">2022-10-16T08:36:00Z</dcterms:created>
  <dcterms:modified xsi:type="dcterms:W3CDTF">2025-05-05T07:16:00Z</dcterms:modified>
</cp:coreProperties>
</file>