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9D3507" w14:textId="77777777" w:rsidR="00177AFD" w:rsidRPr="00C27AEE" w:rsidRDefault="00177AFD" w:rsidP="00177AFD">
      <w:pPr>
        <w:widowControl w:val="0"/>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690819F5" w14:textId="77777777" w:rsidR="00177AFD" w:rsidRDefault="00177AFD" w:rsidP="00177AFD">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76D8C768" w14:textId="77777777" w:rsidR="00177AFD" w:rsidRDefault="00177AFD" w:rsidP="00177AFD">
      <w:pPr>
        <w:widowControl w:val="0"/>
        <w:bidi/>
        <w:spacing w:after="240" w:line="259" w:lineRule="auto"/>
        <w:jc w:val="center"/>
        <w:rPr>
          <w:rFonts w:cs="B Mitra"/>
          <w:b/>
          <w:bCs/>
          <w:sz w:val="32"/>
          <w:szCs w:val="32"/>
          <w:rtl/>
          <w:lang w:bidi="fa-IR"/>
        </w:rPr>
      </w:pPr>
      <w:r>
        <w:rPr>
          <w:rFonts w:cs="B Mitra" w:hint="cs"/>
          <w:b/>
          <w:bCs/>
          <w:sz w:val="32"/>
          <w:szCs w:val="32"/>
          <w:rtl/>
          <w:lang w:bidi="fa-IR"/>
        </w:rPr>
        <w:t>جلسه 921</w:t>
      </w:r>
    </w:p>
    <w:bookmarkEnd w:id="0"/>
    <w:p w14:paraId="7566E733" w14:textId="77777777" w:rsidR="00177AFD" w:rsidRDefault="00177AFD" w:rsidP="00177AFD">
      <w:pPr>
        <w:widowControl w:val="0"/>
        <w:bidi/>
        <w:spacing w:before="240" w:line="247" w:lineRule="auto"/>
        <w:ind w:firstLine="289"/>
        <w:jc w:val="both"/>
        <w:rPr>
          <w:rFonts w:ascii="Amiri" w:hAnsi="Amiri" w:cs="Amiri"/>
          <w:b/>
          <w:bCs/>
          <w:sz w:val="24"/>
          <w:szCs w:val="24"/>
          <w:rtl/>
          <w:lang w:bidi="fa-IR"/>
        </w:rPr>
      </w:pPr>
    </w:p>
    <w:p w14:paraId="07C08AA3" w14:textId="77777777" w:rsidR="00177AFD" w:rsidRDefault="00177AFD" w:rsidP="00177AFD">
      <w:pPr>
        <w:widowControl w:val="0"/>
        <w:bidi/>
        <w:spacing w:before="240" w:line="252" w:lineRule="auto"/>
        <w:ind w:firstLine="289"/>
        <w:jc w:val="both"/>
        <w:rPr>
          <w:rFonts w:cs="2  Mitra"/>
          <w:sz w:val="28"/>
          <w:szCs w:val="28"/>
          <w:rtl/>
          <w:lang w:bidi="fa-IR"/>
        </w:rPr>
      </w:pPr>
      <w:r>
        <w:rPr>
          <w:rFonts w:cs="2  Mitra" w:hint="cs"/>
          <w:sz w:val="28"/>
          <w:szCs w:val="28"/>
          <w:rtl/>
          <w:lang w:bidi="fa-IR"/>
        </w:rPr>
        <w:t>جلسه قبل فرمايشات مرحوم صاحب هدایه در خصوص معنای مراد از غایت را خدمتتان عرض کردیم.</w:t>
      </w:r>
    </w:p>
    <w:p w14:paraId="0093537B" w14:textId="77777777" w:rsidR="00177AFD" w:rsidRDefault="00177AFD" w:rsidP="00177AFD">
      <w:pPr>
        <w:widowControl w:val="0"/>
        <w:bidi/>
        <w:spacing w:before="240" w:line="252" w:lineRule="auto"/>
        <w:ind w:firstLine="289"/>
        <w:jc w:val="both"/>
        <w:rPr>
          <w:rFonts w:cs="Abz-2 (Badr)"/>
          <w:sz w:val="28"/>
          <w:szCs w:val="28"/>
          <w:rtl/>
          <w:lang w:bidi="fa-IR"/>
        </w:rPr>
      </w:pPr>
      <w:r>
        <w:rPr>
          <w:rFonts w:cs="2  Mitra" w:hint="cs"/>
          <w:sz w:val="28"/>
          <w:szCs w:val="28"/>
          <w:rtl/>
          <w:lang w:bidi="fa-IR"/>
        </w:rPr>
        <w:t>مرحوم شيخ نيز در اين خصوص فرموده است: «</w:t>
      </w:r>
      <w:r w:rsidRPr="00CD34C1">
        <w:rPr>
          <w:rFonts w:cs="Abz-2 (Badr)" w:hint="cs"/>
          <w:sz w:val="28"/>
          <w:szCs w:val="28"/>
          <w:rtl/>
          <w:lang w:bidi="fa-IR"/>
        </w:rPr>
        <w:t>الظاهر أنّ المراد من «المسافة» ليس خصوص المكان والزمان وإن كان يعطيه ظاهر بعض الكلمات في بعض المقامات، بل المراد مطلق الامتداد الحاصل في غير المكان والزمان أيضا</w:t>
      </w:r>
      <w:r>
        <w:rPr>
          <w:rFonts w:cs="Abz-2 (Badr)" w:hint="cs"/>
          <w:sz w:val="28"/>
          <w:szCs w:val="28"/>
          <w:rtl/>
          <w:lang w:bidi="fa-IR"/>
        </w:rPr>
        <w:t>ً</w:t>
      </w:r>
      <w:r w:rsidRPr="00CD34C1">
        <w:rPr>
          <w:rFonts w:cs="Abz-2 (Badr)" w:hint="cs"/>
          <w:sz w:val="28"/>
          <w:szCs w:val="28"/>
          <w:rtl/>
          <w:lang w:bidi="fa-IR"/>
        </w:rPr>
        <w:t>، كما في قولك: «أنشدت القصيدة من أوّلها إلى آخرها»</w:t>
      </w:r>
      <w:r>
        <w:rPr>
          <w:rFonts w:cs="Abz-2 (Badr)" w:hint="cs"/>
          <w:sz w:val="28"/>
          <w:szCs w:val="28"/>
          <w:rtl/>
          <w:lang w:bidi="fa-IR"/>
        </w:rPr>
        <w:t>،</w:t>
      </w:r>
      <w:r w:rsidRPr="00CD34C1">
        <w:rPr>
          <w:rFonts w:cs="Abz-2 (Badr)" w:hint="cs"/>
          <w:sz w:val="28"/>
          <w:szCs w:val="28"/>
          <w:rtl/>
          <w:lang w:bidi="fa-IR"/>
        </w:rPr>
        <w:t xml:space="preserve"> فإنّ المسافة المعقولة في ذلك ليست مكانيّة ولا زمانيّة، كما لا يخفى.</w:t>
      </w:r>
      <w:r>
        <w:rPr>
          <w:rFonts w:cs="Abz-2 (Badr)" w:hint="cs"/>
          <w:sz w:val="28"/>
          <w:szCs w:val="28"/>
          <w:rtl/>
          <w:lang w:bidi="fa-IR"/>
        </w:rPr>
        <w:t>..</w:t>
      </w:r>
    </w:p>
    <w:p w14:paraId="2EF63501" w14:textId="77777777" w:rsidR="00177AFD" w:rsidRPr="00CD34C1" w:rsidRDefault="00177AFD" w:rsidP="00177AFD">
      <w:pPr>
        <w:widowControl w:val="0"/>
        <w:bidi/>
        <w:spacing w:before="240" w:line="252" w:lineRule="auto"/>
        <w:ind w:firstLine="289"/>
        <w:jc w:val="both"/>
        <w:rPr>
          <w:rFonts w:cs="Abz-2 (Badr)"/>
          <w:sz w:val="28"/>
          <w:szCs w:val="28"/>
          <w:lang w:bidi="fa-IR"/>
        </w:rPr>
      </w:pPr>
      <w:r w:rsidRPr="00CD34C1">
        <w:rPr>
          <w:rFonts w:cs="Abz-2 (Badr)" w:hint="cs"/>
          <w:sz w:val="28"/>
          <w:szCs w:val="28"/>
          <w:rtl/>
          <w:lang w:bidi="fa-IR"/>
        </w:rPr>
        <w:t xml:space="preserve">ثمّ المقصود فيما نحن بصدده يحتمل أن يكون النهاية، كأن يقال: </w:t>
      </w:r>
      <w:r>
        <w:rPr>
          <w:rFonts w:cs="Abz-2 (Badr)" w:hint="cs"/>
          <w:sz w:val="28"/>
          <w:szCs w:val="28"/>
          <w:rtl/>
          <w:lang w:bidi="fa-IR"/>
        </w:rPr>
        <w:t>«</w:t>
      </w:r>
      <w:r w:rsidRPr="00CD34C1">
        <w:rPr>
          <w:rFonts w:cs="Abz-2 (Badr)" w:hint="cs"/>
          <w:sz w:val="28"/>
          <w:szCs w:val="28"/>
          <w:rtl/>
          <w:lang w:bidi="fa-IR"/>
        </w:rPr>
        <w:t>إنّ الحكم المفروض نهايته بإحدى آلات النهاية مثل لفظ «حتّى» أو «إلى» ينتفي بعد حصول النهاية أو لا؟</w:t>
      </w:r>
      <w:r>
        <w:rPr>
          <w:rFonts w:cs="Abz-2 (Badr)" w:hint="cs"/>
          <w:sz w:val="28"/>
          <w:szCs w:val="28"/>
          <w:rtl/>
          <w:lang w:bidi="fa-IR"/>
        </w:rPr>
        <w:t>»</w:t>
      </w:r>
      <w:r w:rsidRPr="00CD34C1">
        <w:rPr>
          <w:rFonts w:cs="Abz-2 (Badr)" w:hint="cs"/>
          <w:sz w:val="28"/>
          <w:szCs w:val="28"/>
          <w:rtl/>
          <w:lang w:bidi="fa-IR"/>
        </w:rPr>
        <w:t xml:space="preserve"> ويحتمل أن يكون المراد منه مدخول لفظ «إلى» و«حتّى»</w:t>
      </w:r>
      <w:r>
        <w:rPr>
          <w:rFonts w:cs="Abz-2 (Badr)" w:hint="cs"/>
          <w:sz w:val="28"/>
          <w:szCs w:val="28"/>
          <w:rtl/>
          <w:lang w:bidi="fa-IR"/>
        </w:rPr>
        <w:t>.</w:t>
      </w:r>
    </w:p>
    <w:p w14:paraId="365C3E5B" w14:textId="77777777" w:rsidR="00177AFD" w:rsidRDefault="00177AFD" w:rsidP="00177AFD">
      <w:pPr>
        <w:widowControl w:val="0"/>
        <w:bidi/>
        <w:spacing w:before="240" w:line="252" w:lineRule="auto"/>
        <w:ind w:firstLine="289"/>
        <w:jc w:val="both"/>
        <w:rPr>
          <w:rFonts w:cs="Abz-2 (Badr)"/>
          <w:sz w:val="28"/>
          <w:szCs w:val="28"/>
          <w:rtl/>
          <w:lang w:bidi="fa-IR"/>
        </w:rPr>
      </w:pPr>
      <w:r w:rsidRPr="00CD34C1">
        <w:rPr>
          <w:rFonts w:cs="Abz-2 (Badr)" w:hint="cs"/>
          <w:sz w:val="28"/>
          <w:szCs w:val="28"/>
          <w:rtl/>
          <w:lang w:bidi="fa-IR"/>
        </w:rPr>
        <w:t>والفرق بينهما أنّ مدخول لفظ «إلى» و«حتّى» لا يلزم أن يكون نهاية على الحقيقة، فإنّ مدخول تلك الآلات قد يكون ممّا يشتمل على أجزاء من ال</w:t>
      </w:r>
      <w:r>
        <w:rPr>
          <w:rFonts w:cs="Abz-2 (Badr)" w:hint="cs"/>
          <w:sz w:val="28"/>
          <w:szCs w:val="28"/>
          <w:rtl/>
          <w:lang w:bidi="fa-IR"/>
        </w:rPr>
        <w:t>أُ</w:t>
      </w:r>
      <w:r w:rsidRPr="00CD34C1">
        <w:rPr>
          <w:rFonts w:cs="Abz-2 (Badr)" w:hint="cs"/>
          <w:sz w:val="28"/>
          <w:szCs w:val="28"/>
          <w:rtl/>
          <w:lang w:bidi="fa-IR"/>
        </w:rPr>
        <w:t xml:space="preserve">مور الممتدّة كالكوفة في قولك: «سر من البصرة إلى الكوفة» والليل في قوله تعالى: </w:t>
      </w:r>
      <w:r w:rsidRPr="00CD34C1">
        <w:rPr>
          <w:rFonts w:cs="QuranTaha" w:hint="cs"/>
          <w:spacing w:val="-2"/>
          <w:sz w:val="26"/>
          <w:szCs w:val="26"/>
          <w:rtl/>
          <w:lang w:bidi="fa-IR"/>
        </w:rPr>
        <w:t>«ثُمَّ أَتِمُّوا الصِّيامَ إِلَى اللَّيْلِ»</w:t>
      </w:r>
      <w:r w:rsidRPr="00D606E9">
        <w:rPr>
          <w:rStyle w:val="FootnoteReference"/>
          <w:rFonts w:cs="2  Mitra"/>
          <w:sz w:val="28"/>
          <w:szCs w:val="28"/>
          <w:rtl/>
          <w:lang w:bidi="fa-IR"/>
        </w:rPr>
        <w:footnoteReference w:id="2"/>
      </w:r>
      <w:r w:rsidRPr="003A6553">
        <w:rPr>
          <w:rFonts w:cs="Abz-2 (Badr)" w:hint="cs"/>
          <w:sz w:val="28"/>
          <w:szCs w:val="28"/>
          <w:rtl/>
          <w:lang w:bidi="fa-IR"/>
        </w:rPr>
        <w:t>‏</w:t>
      </w:r>
      <w:r w:rsidRPr="00CD34C1">
        <w:rPr>
          <w:rFonts w:cs="Abz-2 (Badr)" w:hint="cs"/>
          <w:sz w:val="28"/>
          <w:szCs w:val="28"/>
          <w:rtl/>
          <w:lang w:bidi="fa-IR"/>
        </w:rPr>
        <w:t xml:space="preserve"> وقد لا يكون كذلك. فظهر أنّ مدخول الأداة لا يجب أن يكون نهاية.</w:t>
      </w:r>
      <w:r w:rsidRPr="00CD34C1">
        <w:rPr>
          <w:rFonts w:cs="2  Mitra" w:hint="cs"/>
          <w:sz w:val="28"/>
          <w:szCs w:val="28"/>
          <w:rtl/>
          <w:lang w:bidi="fa-IR"/>
        </w:rPr>
        <w:t>»</w:t>
      </w:r>
      <w:r w:rsidRPr="00D606E9">
        <w:rPr>
          <w:rStyle w:val="FootnoteReference"/>
          <w:rFonts w:cs="2  Mitra"/>
          <w:sz w:val="28"/>
          <w:szCs w:val="28"/>
          <w:rtl/>
          <w:lang w:bidi="fa-IR"/>
        </w:rPr>
        <w:footnoteReference w:id="3"/>
      </w:r>
      <w:r w:rsidRPr="003A6553">
        <w:rPr>
          <w:rFonts w:cs="Abz-2 (Badr)" w:hint="cs"/>
          <w:sz w:val="28"/>
          <w:szCs w:val="28"/>
          <w:rtl/>
          <w:lang w:bidi="fa-IR"/>
        </w:rPr>
        <w:t>‏</w:t>
      </w:r>
    </w:p>
    <w:p w14:paraId="0BD109FB" w14:textId="77777777" w:rsidR="00177AFD" w:rsidRDefault="00177AFD" w:rsidP="00177AFD">
      <w:pPr>
        <w:widowControl w:val="0"/>
        <w:bidi/>
        <w:spacing w:before="240" w:line="252" w:lineRule="auto"/>
        <w:ind w:firstLine="289"/>
        <w:jc w:val="both"/>
        <w:rPr>
          <w:rFonts w:cs="2  Mitra"/>
          <w:sz w:val="28"/>
          <w:szCs w:val="28"/>
          <w:rtl/>
          <w:lang w:bidi="fa-IR"/>
        </w:rPr>
      </w:pPr>
      <w:r w:rsidRPr="00EE12E6">
        <w:rPr>
          <w:rFonts w:cs="2  Mitra" w:hint="cs"/>
          <w:sz w:val="28"/>
          <w:szCs w:val="28"/>
          <w:rtl/>
          <w:lang w:bidi="fa-IR"/>
        </w:rPr>
        <w:t>حق اين است که مراد از غايت در ما نحن فیه همان معنای لغوی آن است</w:t>
      </w:r>
      <w:r>
        <w:rPr>
          <w:rFonts w:cs="2  Mitra" w:hint="cs"/>
          <w:sz w:val="28"/>
          <w:szCs w:val="28"/>
          <w:rtl/>
          <w:lang w:bidi="fa-IR"/>
        </w:rPr>
        <w:t>.</w:t>
      </w:r>
    </w:p>
    <w:p w14:paraId="6D78A6F7" w14:textId="77777777" w:rsidR="00177AFD" w:rsidRPr="00CD34C1" w:rsidRDefault="00177AFD" w:rsidP="00177AFD">
      <w:pPr>
        <w:widowControl w:val="0"/>
        <w:bidi/>
        <w:spacing w:before="240" w:line="252" w:lineRule="auto"/>
        <w:ind w:firstLine="289"/>
        <w:jc w:val="both"/>
        <w:rPr>
          <w:rFonts w:cs="Abz-2 (Badr)"/>
          <w:sz w:val="28"/>
          <w:szCs w:val="28"/>
          <w:rtl/>
          <w:lang w:bidi="fa-IR"/>
        </w:rPr>
      </w:pPr>
      <w:r>
        <w:rPr>
          <w:rFonts w:cs="2  Mitra" w:hint="cs"/>
          <w:sz w:val="28"/>
          <w:szCs w:val="28"/>
          <w:rtl/>
          <w:lang w:bidi="fa-IR"/>
        </w:rPr>
        <w:t>خليل در کتاب العين در معنای آن گفته است: «</w:t>
      </w:r>
      <w:r w:rsidRPr="00EE12E6">
        <w:rPr>
          <w:rFonts w:cs="Abz-2 (Badr)"/>
          <w:sz w:val="28"/>
          <w:szCs w:val="28"/>
          <w:rtl/>
          <w:lang w:bidi="fa-IR"/>
        </w:rPr>
        <w:t>الغاية: مدى كل</w:t>
      </w:r>
      <w:r>
        <w:rPr>
          <w:rFonts w:cs="Abz-2 (Badr)" w:hint="cs"/>
          <w:sz w:val="28"/>
          <w:szCs w:val="28"/>
          <w:rtl/>
          <w:lang w:bidi="fa-IR"/>
        </w:rPr>
        <w:t>ّ</w:t>
      </w:r>
      <w:r w:rsidRPr="00EE12E6">
        <w:rPr>
          <w:rFonts w:cs="Abz-2 (Badr)"/>
          <w:sz w:val="28"/>
          <w:szCs w:val="28"/>
          <w:rtl/>
          <w:lang w:bidi="fa-IR"/>
        </w:rPr>
        <w:t xml:space="preserve"> ش</w:t>
      </w:r>
      <w:r>
        <w:rPr>
          <w:rFonts w:cs="Abz-2 (Badr)" w:hint="cs"/>
          <w:sz w:val="28"/>
          <w:szCs w:val="28"/>
          <w:rtl/>
          <w:lang w:bidi="fa-IR"/>
        </w:rPr>
        <w:t>يء</w:t>
      </w:r>
      <w:r w:rsidRPr="00EE12E6">
        <w:rPr>
          <w:rFonts w:cs="Abz-2 (Badr)"/>
          <w:sz w:val="28"/>
          <w:szCs w:val="28"/>
          <w:rtl/>
          <w:lang w:bidi="fa-IR"/>
        </w:rPr>
        <w:t xml:space="preserve"> وقصاره، وألفه ياء، وهو من تأليف غين وياءين، </w:t>
      </w:r>
      <w:r w:rsidRPr="00EE12E6">
        <w:rPr>
          <w:rFonts w:cs="Abz-2 (Badr)"/>
          <w:sz w:val="28"/>
          <w:szCs w:val="28"/>
          <w:rtl/>
          <w:lang w:bidi="fa-IR"/>
        </w:rPr>
        <w:lastRenderedPageBreak/>
        <w:t>وتصغيرها</w:t>
      </w:r>
      <w:r>
        <w:rPr>
          <w:rFonts w:cs="Abz-2 (Badr)" w:hint="cs"/>
          <w:sz w:val="28"/>
          <w:szCs w:val="28"/>
          <w:rtl/>
          <w:lang w:bidi="fa-IR"/>
        </w:rPr>
        <w:t xml:space="preserve">: </w:t>
      </w:r>
      <w:r w:rsidRPr="00EE12E6">
        <w:rPr>
          <w:rFonts w:cs="Abz-2 (Badr)"/>
          <w:sz w:val="28"/>
          <w:szCs w:val="28"/>
          <w:rtl/>
          <w:lang w:bidi="fa-IR"/>
        </w:rPr>
        <w:t>غ</w:t>
      </w:r>
      <w:r>
        <w:rPr>
          <w:rFonts w:cs="Abz-2 (Badr)" w:hint="cs"/>
          <w:sz w:val="28"/>
          <w:szCs w:val="28"/>
          <w:rtl/>
          <w:lang w:bidi="fa-IR"/>
        </w:rPr>
        <w:t>ُ</w:t>
      </w:r>
      <w:r w:rsidRPr="00EE12E6">
        <w:rPr>
          <w:rFonts w:cs="Abz-2 (Badr)"/>
          <w:sz w:val="28"/>
          <w:szCs w:val="28"/>
          <w:rtl/>
          <w:lang w:bidi="fa-IR"/>
        </w:rPr>
        <w:t>يي</w:t>
      </w:r>
      <w:r>
        <w:rPr>
          <w:rFonts w:cs="Abz-2 (Badr)" w:hint="cs"/>
          <w:sz w:val="28"/>
          <w:szCs w:val="28"/>
          <w:rtl/>
          <w:lang w:bidi="fa-IR"/>
        </w:rPr>
        <w:t>ّ</w:t>
      </w:r>
      <w:r w:rsidRPr="00EE12E6">
        <w:rPr>
          <w:rFonts w:cs="Abz-2 (Badr)"/>
          <w:sz w:val="28"/>
          <w:szCs w:val="28"/>
          <w:rtl/>
          <w:lang w:bidi="fa-IR"/>
        </w:rPr>
        <w:t>ة</w:t>
      </w:r>
      <w:r>
        <w:rPr>
          <w:rFonts w:cs="Abz-2 (Badr)" w:hint="cs"/>
          <w:sz w:val="28"/>
          <w:szCs w:val="28"/>
          <w:rtl/>
          <w:lang w:bidi="fa-IR"/>
        </w:rPr>
        <w:t>.</w:t>
      </w:r>
      <w:r w:rsidRPr="00EE12E6">
        <w:rPr>
          <w:rFonts w:cs="2  Mitra" w:hint="cs"/>
          <w:sz w:val="28"/>
          <w:szCs w:val="28"/>
          <w:rtl/>
          <w:lang w:bidi="fa-IR"/>
        </w:rPr>
        <w:t>»</w:t>
      </w:r>
      <w:r w:rsidRPr="00D606E9">
        <w:rPr>
          <w:rStyle w:val="FootnoteReference"/>
          <w:rFonts w:cs="2  Mitra"/>
          <w:sz w:val="28"/>
          <w:szCs w:val="28"/>
          <w:rtl/>
          <w:lang w:bidi="fa-IR"/>
        </w:rPr>
        <w:footnoteReference w:id="4"/>
      </w:r>
      <w:r w:rsidRPr="003A6553">
        <w:rPr>
          <w:rFonts w:cs="Abz-2 (Badr)" w:hint="cs"/>
          <w:sz w:val="28"/>
          <w:szCs w:val="28"/>
          <w:rtl/>
          <w:lang w:bidi="fa-IR"/>
        </w:rPr>
        <w:t>‏</w:t>
      </w:r>
    </w:p>
    <w:p w14:paraId="48AA4831" w14:textId="77777777" w:rsidR="00177AFD" w:rsidRPr="00CD34C1" w:rsidRDefault="00177AFD" w:rsidP="00177AFD">
      <w:pPr>
        <w:widowControl w:val="0"/>
        <w:bidi/>
        <w:spacing w:before="240" w:line="252" w:lineRule="auto"/>
        <w:ind w:firstLine="289"/>
        <w:jc w:val="both"/>
        <w:rPr>
          <w:rFonts w:cs="Abz-2 (Badr)"/>
          <w:sz w:val="28"/>
          <w:szCs w:val="28"/>
          <w:lang w:bidi="fa-IR"/>
        </w:rPr>
      </w:pPr>
      <w:r w:rsidRPr="00C90CCA">
        <w:rPr>
          <w:rFonts w:cs="2  Mitra" w:hint="cs"/>
          <w:sz w:val="28"/>
          <w:szCs w:val="28"/>
          <w:rtl/>
          <w:lang w:bidi="fa-IR"/>
        </w:rPr>
        <w:t>ابن منظور نيز می</w:t>
      </w:r>
      <w:r w:rsidRPr="00C90CCA">
        <w:rPr>
          <w:rFonts w:cs="2  Mitra"/>
          <w:sz w:val="28"/>
          <w:szCs w:val="28"/>
          <w:rtl/>
          <w:lang w:bidi="fa-IR"/>
        </w:rPr>
        <w:softHyphen/>
      </w:r>
      <w:r w:rsidRPr="00C90CCA">
        <w:rPr>
          <w:rFonts w:cs="2  Mitra" w:hint="cs"/>
          <w:sz w:val="28"/>
          <w:szCs w:val="28"/>
          <w:rtl/>
          <w:lang w:bidi="fa-IR"/>
        </w:rPr>
        <w:t>گويد: «</w:t>
      </w:r>
      <w:r w:rsidRPr="00C90CCA">
        <w:rPr>
          <w:rFonts w:cs="Abz-2 (Badr)"/>
          <w:sz w:val="28"/>
          <w:szCs w:val="28"/>
          <w:rtl/>
          <w:lang w:bidi="fa-IR"/>
        </w:rPr>
        <w:t>الغاية</w:t>
      </w:r>
      <w:r>
        <w:rPr>
          <w:rFonts w:cs="Abz-2 (Badr)" w:hint="cs"/>
          <w:sz w:val="28"/>
          <w:szCs w:val="28"/>
          <w:rtl/>
          <w:lang w:bidi="fa-IR"/>
        </w:rPr>
        <w:t xml:space="preserve">: </w:t>
      </w:r>
      <w:r w:rsidRPr="00C90CCA">
        <w:rPr>
          <w:rFonts w:cs="Abz-2 (Badr)"/>
          <w:sz w:val="28"/>
          <w:szCs w:val="28"/>
          <w:rtl/>
          <w:lang w:bidi="fa-IR"/>
        </w:rPr>
        <w:t>مدى الشيء</w:t>
      </w:r>
      <w:r>
        <w:rPr>
          <w:rFonts w:cs="Abz-2 (Badr)" w:hint="cs"/>
          <w:sz w:val="28"/>
          <w:szCs w:val="28"/>
          <w:rtl/>
          <w:lang w:bidi="fa-IR"/>
        </w:rPr>
        <w:t>.</w:t>
      </w:r>
      <w:r w:rsidRPr="00C90CCA">
        <w:rPr>
          <w:rFonts w:cs="Abz-2 (Badr)"/>
          <w:sz w:val="28"/>
          <w:szCs w:val="28"/>
          <w:rtl/>
          <w:lang w:bidi="fa-IR"/>
        </w:rPr>
        <w:t xml:space="preserve"> وال</w:t>
      </w:r>
      <w:r>
        <w:rPr>
          <w:rFonts w:cs="Abz-2 (Badr)" w:hint="cs"/>
          <w:sz w:val="28"/>
          <w:szCs w:val="28"/>
          <w:rtl/>
          <w:lang w:bidi="fa-IR"/>
        </w:rPr>
        <w:t>غ</w:t>
      </w:r>
      <w:r w:rsidRPr="00C90CCA">
        <w:rPr>
          <w:rFonts w:cs="Abz-2 (Badr)"/>
          <w:sz w:val="28"/>
          <w:szCs w:val="28"/>
          <w:rtl/>
          <w:lang w:bidi="fa-IR"/>
        </w:rPr>
        <w:t>اية أقصى الشيء.</w:t>
      </w:r>
      <w:r>
        <w:rPr>
          <w:rFonts w:cs="Abz-2 (Badr)" w:hint="cs"/>
          <w:sz w:val="28"/>
          <w:szCs w:val="28"/>
          <w:rtl/>
          <w:lang w:bidi="fa-IR"/>
        </w:rPr>
        <w:t>..</w:t>
      </w:r>
      <w:r w:rsidRPr="00C90CCA">
        <w:rPr>
          <w:rFonts w:cs="Abz-2 (Badr)"/>
          <w:sz w:val="28"/>
          <w:szCs w:val="28"/>
          <w:rtl/>
          <w:lang w:bidi="fa-IR"/>
        </w:rPr>
        <w:t xml:space="preserve"> وغا</w:t>
      </w:r>
      <w:r>
        <w:rPr>
          <w:rFonts w:cs="Abz-2 (Badr)" w:hint="cs"/>
          <w:sz w:val="28"/>
          <w:szCs w:val="28"/>
          <w:rtl/>
          <w:lang w:bidi="fa-IR"/>
        </w:rPr>
        <w:t>ي</w:t>
      </w:r>
      <w:r w:rsidRPr="00C90CCA">
        <w:rPr>
          <w:rFonts w:cs="Abz-2 (Badr)"/>
          <w:sz w:val="28"/>
          <w:szCs w:val="28"/>
          <w:rtl/>
          <w:lang w:bidi="fa-IR"/>
        </w:rPr>
        <w:t>ة كلّ شيء: منتهاه</w:t>
      </w:r>
      <w:r>
        <w:rPr>
          <w:rFonts w:cs="Abz-2 (Badr)" w:hint="cs"/>
          <w:sz w:val="28"/>
          <w:szCs w:val="28"/>
          <w:rtl/>
          <w:lang w:bidi="fa-IR"/>
        </w:rPr>
        <w:t>.</w:t>
      </w:r>
      <w:r w:rsidRPr="00C90CCA">
        <w:rPr>
          <w:rFonts w:cs="Abz-2 (Badr)"/>
          <w:sz w:val="28"/>
          <w:szCs w:val="28"/>
          <w:rtl/>
          <w:lang w:bidi="fa-IR"/>
        </w:rPr>
        <w:t xml:space="preserve"> وجمعها</w:t>
      </w:r>
      <w:r>
        <w:rPr>
          <w:rFonts w:cs="Abz-2 (Badr)" w:hint="cs"/>
          <w:sz w:val="28"/>
          <w:szCs w:val="28"/>
          <w:rtl/>
          <w:lang w:bidi="fa-IR"/>
        </w:rPr>
        <w:t>:</w:t>
      </w:r>
      <w:r w:rsidRPr="00C90CCA">
        <w:rPr>
          <w:rFonts w:cs="Abz-2 (Badr)"/>
          <w:sz w:val="28"/>
          <w:szCs w:val="28"/>
          <w:rtl/>
          <w:lang w:bidi="fa-IR"/>
        </w:rPr>
        <w:t xml:space="preserve"> غايات وغاي</w:t>
      </w:r>
      <w:r>
        <w:rPr>
          <w:rFonts w:cs="Abz-2 (Badr)" w:hint="cs"/>
          <w:sz w:val="28"/>
          <w:szCs w:val="28"/>
          <w:rtl/>
          <w:lang w:bidi="fa-IR"/>
        </w:rPr>
        <w:t>،</w:t>
      </w:r>
      <w:r w:rsidRPr="00C90CCA">
        <w:rPr>
          <w:rFonts w:cs="Abz-2 (Badr)"/>
          <w:sz w:val="28"/>
          <w:szCs w:val="28"/>
          <w:rtl/>
          <w:lang w:bidi="fa-IR"/>
        </w:rPr>
        <w:t xml:space="preserve"> مثل ساعة وساع</w:t>
      </w:r>
      <w:r>
        <w:rPr>
          <w:rFonts w:cs="Abz-2 (Badr)" w:hint="cs"/>
          <w:sz w:val="28"/>
          <w:szCs w:val="28"/>
          <w:rtl/>
          <w:lang w:bidi="fa-IR"/>
        </w:rPr>
        <w:t>.</w:t>
      </w:r>
      <w:r w:rsidRPr="00C90CCA">
        <w:rPr>
          <w:rFonts w:cs="2  Mitra" w:hint="cs"/>
          <w:sz w:val="28"/>
          <w:szCs w:val="28"/>
          <w:rtl/>
          <w:lang w:bidi="fa-IR"/>
        </w:rPr>
        <w:t>»</w:t>
      </w:r>
      <w:r w:rsidRPr="00D606E9">
        <w:rPr>
          <w:rStyle w:val="FootnoteReference"/>
          <w:rFonts w:cs="2  Mitra"/>
          <w:sz w:val="28"/>
          <w:szCs w:val="28"/>
          <w:rtl/>
          <w:lang w:bidi="fa-IR"/>
        </w:rPr>
        <w:footnoteReference w:id="5"/>
      </w:r>
      <w:r w:rsidRPr="003A6553">
        <w:rPr>
          <w:rFonts w:cs="Abz-2 (Badr)" w:hint="cs"/>
          <w:sz w:val="28"/>
          <w:szCs w:val="28"/>
          <w:rtl/>
          <w:lang w:bidi="fa-IR"/>
        </w:rPr>
        <w:t>‏</w:t>
      </w:r>
    </w:p>
    <w:p w14:paraId="47A06062" w14:textId="77777777" w:rsidR="00177AFD" w:rsidRDefault="00177AFD" w:rsidP="00177AFD">
      <w:pPr>
        <w:widowControl w:val="0"/>
        <w:bidi/>
        <w:spacing w:before="240" w:line="252" w:lineRule="auto"/>
        <w:ind w:firstLine="289"/>
        <w:jc w:val="both"/>
        <w:rPr>
          <w:rFonts w:cs="2  Mitra"/>
          <w:sz w:val="28"/>
          <w:szCs w:val="28"/>
          <w:rtl/>
          <w:lang w:bidi="fa-IR"/>
        </w:rPr>
      </w:pPr>
      <w:r>
        <w:rPr>
          <w:rFonts w:cs="2  Mitra" w:hint="cs"/>
          <w:sz w:val="28"/>
          <w:szCs w:val="28"/>
          <w:rtl/>
          <w:lang w:bidi="fa-IR"/>
        </w:rPr>
        <w:t>و این معنا همچنان که در کلمات صاحب هدایه گذشت، معنایی انتزاعی است، يعنی از نسبتی که بین اولین جزء يک چيز و جزئی که ما قبل آن است وجود دارد، انتزاع معنای ابتدائیت می</w:t>
      </w:r>
      <w:r>
        <w:rPr>
          <w:rFonts w:cs="2  Mitra"/>
          <w:sz w:val="28"/>
          <w:szCs w:val="28"/>
          <w:rtl/>
          <w:lang w:bidi="fa-IR"/>
        </w:rPr>
        <w:softHyphen/>
      </w:r>
      <w:r>
        <w:rPr>
          <w:rFonts w:cs="2  Mitra" w:hint="cs"/>
          <w:sz w:val="28"/>
          <w:szCs w:val="28"/>
          <w:rtl/>
          <w:lang w:bidi="fa-IR"/>
        </w:rPr>
        <w:t>شود و از نسبتی که بین آخرين جزء هر چيز و جزئی که بعد از آن واقع است، انتزاع معنای انتهائیت و طرف نسبت اول را ابتداء و طرف نسبت دوم را انتهاء يا غايت می</w:t>
      </w:r>
      <w:r>
        <w:rPr>
          <w:rFonts w:cs="2  Mitra"/>
          <w:sz w:val="28"/>
          <w:szCs w:val="28"/>
          <w:rtl/>
          <w:lang w:bidi="fa-IR"/>
        </w:rPr>
        <w:softHyphen/>
      </w:r>
      <w:r>
        <w:rPr>
          <w:rFonts w:cs="2  Mitra" w:hint="cs"/>
          <w:sz w:val="28"/>
          <w:szCs w:val="28"/>
          <w:rtl/>
          <w:lang w:bidi="fa-IR"/>
        </w:rPr>
        <w:t>نامند.</w:t>
      </w:r>
    </w:p>
    <w:p w14:paraId="6E9E6E9C" w14:textId="77777777" w:rsidR="00177AFD" w:rsidRDefault="00177AFD" w:rsidP="00177AFD">
      <w:pPr>
        <w:widowControl w:val="0"/>
        <w:bidi/>
        <w:spacing w:before="240" w:line="259" w:lineRule="auto"/>
        <w:ind w:firstLine="289"/>
        <w:jc w:val="both"/>
        <w:rPr>
          <w:rFonts w:cs="2  Mitra"/>
          <w:sz w:val="28"/>
          <w:szCs w:val="28"/>
          <w:rtl/>
          <w:lang w:bidi="fa-IR"/>
        </w:rPr>
      </w:pPr>
      <w:r>
        <w:rPr>
          <w:rFonts w:cs="2  Mitra" w:hint="cs"/>
          <w:sz w:val="28"/>
          <w:szCs w:val="28"/>
          <w:rtl/>
          <w:lang w:bidi="fa-IR"/>
        </w:rPr>
        <w:t>اما بحثی که وجود دارد مبنی بر این که غایت آيا داخل در مغيّی هست يا نه، ناشی از اين است که شک وجود دارد که طرفی از نسبت انتهائیت که غایت نامیده می</w:t>
      </w:r>
      <w:r>
        <w:rPr>
          <w:rFonts w:cs="2  Mitra"/>
          <w:sz w:val="28"/>
          <w:szCs w:val="28"/>
          <w:rtl/>
          <w:lang w:bidi="fa-IR"/>
        </w:rPr>
        <w:softHyphen/>
      </w:r>
      <w:r>
        <w:rPr>
          <w:rFonts w:cs="2  Mitra" w:hint="cs"/>
          <w:sz w:val="28"/>
          <w:szCs w:val="28"/>
          <w:rtl/>
          <w:lang w:bidi="fa-IR"/>
        </w:rPr>
        <w:t>شود، طرفی است که آخرين جزء آن شيء است يا طرف دیگر که خارج از آن است؟</w:t>
      </w:r>
    </w:p>
    <w:p w14:paraId="4F063CCC" w14:textId="77777777" w:rsidR="00177AFD" w:rsidRDefault="00177AFD" w:rsidP="00177AFD">
      <w:pPr>
        <w:widowControl w:val="0"/>
        <w:bidi/>
        <w:spacing w:before="240" w:line="259" w:lineRule="auto"/>
        <w:ind w:firstLine="289"/>
        <w:jc w:val="both"/>
        <w:rPr>
          <w:rFonts w:cs="2  Mitra"/>
          <w:sz w:val="28"/>
          <w:szCs w:val="28"/>
          <w:rtl/>
          <w:lang w:bidi="fa-IR"/>
        </w:rPr>
      </w:pPr>
      <w:r>
        <w:rPr>
          <w:rFonts w:cs="2  Mitra" w:hint="cs"/>
          <w:sz w:val="28"/>
          <w:szCs w:val="28"/>
          <w:rtl/>
          <w:lang w:bidi="fa-IR"/>
        </w:rPr>
        <w:t>نظير اين مطلب در مفهاهیمی مثل «فوقیت» و «تحتیت» وجود دارد، با اين فرق که در اين دو مفهوم از آنجا که نسبت واحد از دو حیث مد نظر قرار گرفته است، ديگر شکی وجود ندارد که لفظ «فوق» به کدام طرف نسبت و لفظ «تحت» به کدام یک از آنها اطلاق می</w:t>
      </w:r>
      <w:r>
        <w:rPr>
          <w:rFonts w:cs="2  Mitra"/>
          <w:sz w:val="28"/>
          <w:szCs w:val="28"/>
          <w:rtl/>
          <w:lang w:bidi="fa-IR"/>
        </w:rPr>
        <w:softHyphen/>
      </w:r>
      <w:r>
        <w:rPr>
          <w:rFonts w:cs="2  Mitra" w:hint="cs"/>
          <w:sz w:val="28"/>
          <w:szCs w:val="28"/>
          <w:rtl/>
          <w:lang w:bidi="fa-IR"/>
        </w:rPr>
        <w:t>گردد، در حالی که در مفهوم «انتهائيت» چون آشکار نيست که اين نسبت از حيث طرف اول آن مد نظر بوده يا از حيث طرف ديگر، در اين که لفظ «غايت» به کدام یک از دو طرف نسبت اطلاق می</w:t>
      </w:r>
      <w:r>
        <w:rPr>
          <w:rFonts w:cs="2  Mitra"/>
          <w:sz w:val="28"/>
          <w:szCs w:val="28"/>
          <w:rtl/>
          <w:lang w:bidi="fa-IR"/>
        </w:rPr>
        <w:softHyphen/>
      </w:r>
      <w:r>
        <w:rPr>
          <w:rFonts w:cs="2  Mitra" w:hint="cs"/>
          <w:sz w:val="28"/>
          <w:szCs w:val="28"/>
          <w:rtl/>
          <w:lang w:bidi="fa-IR"/>
        </w:rPr>
        <w:t xml:space="preserve">گردد، اختلاف ايجاد شده است. </w:t>
      </w:r>
    </w:p>
    <w:p w14:paraId="3D574E21" w14:textId="77777777" w:rsidR="00177AFD" w:rsidRDefault="00177AFD" w:rsidP="00177AFD">
      <w:pPr>
        <w:widowControl w:val="0"/>
        <w:bidi/>
        <w:spacing w:before="240" w:line="259" w:lineRule="auto"/>
        <w:ind w:firstLine="289"/>
        <w:jc w:val="both"/>
        <w:rPr>
          <w:rFonts w:cs="Abz-2 (Badr)"/>
          <w:sz w:val="28"/>
          <w:szCs w:val="28"/>
          <w:rtl/>
        </w:rPr>
      </w:pPr>
      <w:r>
        <w:rPr>
          <w:rFonts w:cs="2  Mitra" w:hint="cs"/>
          <w:sz w:val="28"/>
          <w:szCs w:val="28"/>
          <w:rtl/>
          <w:lang w:bidi="fa-IR"/>
        </w:rPr>
        <w:t>با توجه به اين مطلب، معلوم می</w:t>
      </w:r>
      <w:r>
        <w:rPr>
          <w:rFonts w:cs="2  Mitra"/>
          <w:sz w:val="28"/>
          <w:szCs w:val="28"/>
          <w:rtl/>
          <w:lang w:bidi="fa-IR"/>
        </w:rPr>
        <w:softHyphen/>
      </w:r>
      <w:r>
        <w:rPr>
          <w:rFonts w:cs="2  Mitra" w:hint="cs"/>
          <w:sz w:val="28"/>
          <w:szCs w:val="28"/>
          <w:rtl/>
          <w:lang w:bidi="fa-IR"/>
        </w:rPr>
        <w:t>شود آنچه که گفته شده است مبنی بر این که «</w:t>
      </w:r>
      <w:r w:rsidRPr="00087F83">
        <w:rPr>
          <w:rFonts w:cs="Abz-2 (Badr)" w:hint="cs"/>
          <w:sz w:val="28"/>
          <w:szCs w:val="28"/>
          <w:rtl/>
          <w:lang w:bidi="fa-IR"/>
        </w:rPr>
        <w:t>من</w:t>
      </w:r>
      <w:r>
        <w:rPr>
          <w:rFonts w:cs="2  Mitra" w:hint="cs"/>
          <w:sz w:val="28"/>
          <w:szCs w:val="28"/>
          <w:rtl/>
          <w:lang w:bidi="fa-IR"/>
        </w:rPr>
        <w:t>» برای ابتدای غايت و «</w:t>
      </w:r>
      <w:r w:rsidRPr="00087F83">
        <w:rPr>
          <w:rFonts w:cs="Abz-2 (Badr)" w:hint="cs"/>
          <w:sz w:val="28"/>
          <w:szCs w:val="28"/>
          <w:rtl/>
          <w:lang w:bidi="fa-IR"/>
        </w:rPr>
        <w:t>إلی</w:t>
      </w:r>
      <w:r>
        <w:rPr>
          <w:rFonts w:cs="2  Mitra" w:hint="cs"/>
          <w:sz w:val="28"/>
          <w:szCs w:val="28"/>
          <w:rtl/>
          <w:lang w:bidi="fa-IR"/>
        </w:rPr>
        <w:t>» برای انتهای آن است، مراد از «</w:t>
      </w:r>
      <w:r w:rsidRPr="00087F83">
        <w:rPr>
          <w:rFonts w:cs="Abz-2 (Badr)" w:hint="cs"/>
          <w:sz w:val="28"/>
          <w:szCs w:val="28"/>
          <w:rtl/>
          <w:lang w:bidi="fa-IR"/>
        </w:rPr>
        <w:t>غايت</w:t>
      </w:r>
      <w:r>
        <w:rPr>
          <w:rFonts w:cs="2  Mitra" w:hint="cs"/>
          <w:sz w:val="28"/>
          <w:szCs w:val="28"/>
          <w:rtl/>
          <w:lang w:bidi="fa-IR"/>
        </w:rPr>
        <w:t>» در این کلام، «</w:t>
      </w:r>
      <w:r w:rsidRPr="00087F83">
        <w:rPr>
          <w:rFonts w:cs="Abz-2 (Badr)" w:hint="cs"/>
          <w:sz w:val="28"/>
          <w:szCs w:val="28"/>
          <w:rtl/>
          <w:lang w:bidi="fa-IR"/>
        </w:rPr>
        <w:t>ذو الغاية</w:t>
      </w:r>
      <w:r>
        <w:rPr>
          <w:rFonts w:cs="2  Mitra" w:hint="cs"/>
          <w:sz w:val="28"/>
          <w:szCs w:val="28"/>
          <w:rtl/>
          <w:lang w:bidi="fa-IR"/>
        </w:rPr>
        <w:t>» است که همان «</w:t>
      </w:r>
      <w:r w:rsidRPr="00087F83">
        <w:rPr>
          <w:rFonts w:cs="Abz-2 (Badr)" w:hint="cs"/>
          <w:sz w:val="28"/>
          <w:szCs w:val="28"/>
          <w:rtl/>
          <w:lang w:bidi="fa-IR"/>
        </w:rPr>
        <w:t>سير</w:t>
      </w:r>
      <w:r>
        <w:rPr>
          <w:rFonts w:cs="2  Mitra" w:hint="cs"/>
          <w:sz w:val="28"/>
          <w:szCs w:val="28"/>
          <w:rtl/>
          <w:lang w:bidi="fa-IR"/>
        </w:rPr>
        <w:t>» است؛ فلذا مرحوم سيد رضی استرآبادی می</w:t>
      </w:r>
      <w:r>
        <w:rPr>
          <w:rFonts w:cs="2  Mitra"/>
          <w:sz w:val="28"/>
          <w:szCs w:val="28"/>
          <w:rtl/>
          <w:lang w:bidi="fa-IR"/>
        </w:rPr>
        <w:softHyphen/>
      </w:r>
      <w:r>
        <w:rPr>
          <w:rFonts w:cs="2  Mitra" w:hint="cs"/>
          <w:sz w:val="28"/>
          <w:szCs w:val="28"/>
          <w:rtl/>
          <w:lang w:bidi="fa-IR"/>
        </w:rPr>
        <w:t>فرماید: «</w:t>
      </w:r>
      <w:r w:rsidRPr="004E41F2">
        <w:rPr>
          <w:rFonts w:cs="Abz-2 (Badr)"/>
          <w:sz w:val="28"/>
          <w:szCs w:val="28"/>
          <w:rtl/>
        </w:rPr>
        <w:t xml:space="preserve">المراد بالغاية في قولهم: </w:t>
      </w:r>
      <w:r>
        <w:rPr>
          <w:rFonts w:cs="Abz-2 (Badr)" w:hint="cs"/>
          <w:sz w:val="28"/>
          <w:szCs w:val="28"/>
          <w:rtl/>
        </w:rPr>
        <w:t>«</w:t>
      </w:r>
      <w:r w:rsidRPr="004E41F2">
        <w:rPr>
          <w:rFonts w:cs="Abz-2 (Badr)"/>
          <w:sz w:val="28"/>
          <w:szCs w:val="28"/>
          <w:rtl/>
        </w:rPr>
        <w:t>ابتداء الغاية وانتهاء الغاية</w:t>
      </w:r>
      <w:r>
        <w:rPr>
          <w:rFonts w:cs="Abz-2 (Badr)" w:hint="cs"/>
          <w:sz w:val="28"/>
          <w:szCs w:val="28"/>
          <w:rtl/>
        </w:rPr>
        <w:t>»</w:t>
      </w:r>
      <w:r w:rsidRPr="004E41F2">
        <w:rPr>
          <w:rFonts w:cs="Abz-2 (Badr)"/>
          <w:sz w:val="28"/>
          <w:szCs w:val="28"/>
          <w:rtl/>
        </w:rPr>
        <w:t xml:space="preserve"> جميع المسافة، إذ لا معنى لابتداء النهاية وانتهاء النهاية</w:t>
      </w:r>
      <w:r>
        <w:rPr>
          <w:rFonts w:cs="Abz-2 (Badr)" w:hint="cs"/>
          <w:sz w:val="28"/>
          <w:szCs w:val="28"/>
          <w:rtl/>
        </w:rPr>
        <w:t>...</w:t>
      </w:r>
    </w:p>
    <w:p w14:paraId="595D10AB" w14:textId="77777777" w:rsidR="00177AFD" w:rsidRDefault="00177AFD" w:rsidP="00177AFD">
      <w:pPr>
        <w:widowControl w:val="0"/>
        <w:bidi/>
        <w:spacing w:before="240" w:line="259" w:lineRule="auto"/>
        <w:ind w:firstLine="289"/>
        <w:jc w:val="both"/>
        <w:rPr>
          <w:rFonts w:cs="Abz-2 (Badr)"/>
          <w:sz w:val="28"/>
          <w:szCs w:val="28"/>
          <w:rtl/>
        </w:rPr>
      </w:pPr>
      <w:r>
        <w:rPr>
          <w:rFonts w:cs="Abz-2 (Badr)" w:hint="cs"/>
          <w:sz w:val="28"/>
          <w:szCs w:val="28"/>
          <w:rtl/>
        </w:rPr>
        <w:t>و</w:t>
      </w:r>
      <w:r w:rsidRPr="00EB253E">
        <w:rPr>
          <w:rFonts w:cs="Abz-2 (Badr)"/>
          <w:sz w:val="28"/>
          <w:szCs w:val="28"/>
          <w:rtl/>
        </w:rPr>
        <w:t>تعرف «من» الابتدائية بأن يحسن في مقابلتها «إلى</w:t>
      </w:r>
      <w:r>
        <w:rPr>
          <w:rFonts w:cs="Abz-2 (Badr)" w:hint="cs"/>
          <w:sz w:val="28"/>
          <w:szCs w:val="28"/>
          <w:rtl/>
        </w:rPr>
        <w:t xml:space="preserve">» </w:t>
      </w:r>
      <w:r w:rsidRPr="00EB253E">
        <w:rPr>
          <w:rFonts w:cs="Abz-2 (Badr)"/>
          <w:sz w:val="28"/>
          <w:szCs w:val="28"/>
          <w:rtl/>
        </w:rPr>
        <w:t>أو ما يفيد فائدتها، نحو قولك</w:t>
      </w:r>
      <w:r>
        <w:rPr>
          <w:rFonts w:cs="Abz-2 (Badr)" w:hint="cs"/>
          <w:sz w:val="28"/>
          <w:szCs w:val="28"/>
          <w:rtl/>
        </w:rPr>
        <w:t>:</w:t>
      </w:r>
      <w:r w:rsidRPr="00EB253E">
        <w:rPr>
          <w:rFonts w:cs="Abz-2 (Badr)"/>
          <w:sz w:val="28"/>
          <w:szCs w:val="28"/>
          <w:rtl/>
        </w:rPr>
        <w:t xml:space="preserve"> </w:t>
      </w:r>
      <w:r>
        <w:rPr>
          <w:rFonts w:cs="Abz-2 (Badr)" w:hint="cs"/>
          <w:sz w:val="28"/>
          <w:szCs w:val="28"/>
          <w:rtl/>
        </w:rPr>
        <w:t>«</w:t>
      </w:r>
      <w:r w:rsidRPr="00EB253E">
        <w:rPr>
          <w:rFonts w:cs="Abz-2 (Badr)"/>
          <w:sz w:val="28"/>
          <w:szCs w:val="28"/>
          <w:rtl/>
        </w:rPr>
        <w:t>أعوذ بالله من الشيطان الرجيم</w:t>
      </w:r>
      <w:r>
        <w:rPr>
          <w:rFonts w:cs="Abz-2 (Badr)" w:hint="cs"/>
          <w:sz w:val="28"/>
          <w:szCs w:val="28"/>
          <w:rtl/>
        </w:rPr>
        <w:t>»</w:t>
      </w:r>
      <w:r w:rsidRPr="00EB253E">
        <w:rPr>
          <w:rFonts w:cs="Abz-2 (Badr)"/>
          <w:sz w:val="28"/>
          <w:szCs w:val="28"/>
          <w:rtl/>
        </w:rPr>
        <w:t xml:space="preserve">، </w:t>
      </w:r>
      <w:r w:rsidRPr="00EB253E">
        <w:rPr>
          <w:rFonts w:cs="Abz-2 (Badr)"/>
          <w:sz w:val="28"/>
          <w:szCs w:val="28"/>
          <w:rtl/>
        </w:rPr>
        <w:lastRenderedPageBreak/>
        <w:t>لأن</w:t>
      </w:r>
      <w:r>
        <w:rPr>
          <w:rFonts w:cs="Abz-2 (Badr)" w:hint="cs"/>
          <w:sz w:val="28"/>
          <w:szCs w:val="28"/>
          <w:rtl/>
        </w:rPr>
        <w:t>ّ</w:t>
      </w:r>
      <w:r w:rsidRPr="00EB253E">
        <w:rPr>
          <w:rFonts w:cs="Abz-2 (Badr)"/>
          <w:sz w:val="28"/>
          <w:szCs w:val="28"/>
          <w:rtl/>
        </w:rPr>
        <w:t xml:space="preserve"> معنى </w:t>
      </w:r>
      <w:r>
        <w:rPr>
          <w:rFonts w:cs="Abz-2 (Badr)" w:hint="cs"/>
          <w:sz w:val="28"/>
          <w:szCs w:val="28"/>
          <w:rtl/>
        </w:rPr>
        <w:t>«</w:t>
      </w:r>
      <w:r w:rsidRPr="00EB253E">
        <w:rPr>
          <w:rFonts w:cs="Abz-2 (Badr)"/>
          <w:sz w:val="28"/>
          <w:szCs w:val="28"/>
          <w:rtl/>
        </w:rPr>
        <w:t>أعوذ به</w:t>
      </w:r>
      <w:r>
        <w:rPr>
          <w:rFonts w:cs="Abz-2 (Badr)" w:hint="cs"/>
          <w:sz w:val="28"/>
          <w:szCs w:val="28"/>
          <w:rtl/>
        </w:rPr>
        <w:t xml:space="preserve">»: </w:t>
      </w:r>
      <w:r w:rsidRPr="00EB253E">
        <w:rPr>
          <w:rFonts w:cs="Abz-2 (Badr)"/>
          <w:sz w:val="28"/>
          <w:szCs w:val="28"/>
          <w:rtl/>
        </w:rPr>
        <w:t>ألتجئ إليه وأفرّ إليه، فالباء ههنا أفادت معنى الانتهاء</w:t>
      </w:r>
      <w:r>
        <w:rPr>
          <w:rFonts w:cs="Abz-2 (Badr)" w:hint="cs"/>
          <w:sz w:val="28"/>
          <w:szCs w:val="28"/>
          <w:rtl/>
        </w:rPr>
        <w:t>.</w:t>
      </w:r>
    </w:p>
    <w:p w14:paraId="6255514D" w14:textId="77777777" w:rsidR="00177AFD" w:rsidRPr="004E41F2" w:rsidRDefault="00177AFD" w:rsidP="00177AFD">
      <w:pPr>
        <w:widowControl w:val="0"/>
        <w:bidi/>
        <w:spacing w:before="240" w:line="259" w:lineRule="auto"/>
        <w:ind w:firstLine="289"/>
        <w:jc w:val="both"/>
        <w:rPr>
          <w:rFonts w:cs="Abz-2 (Badr)"/>
          <w:sz w:val="28"/>
          <w:szCs w:val="28"/>
          <w:rtl/>
          <w:lang w:bidi="fa-IR"/>
        </w:rPr>
      </w:pPr>
      <w:r w:rsidRPr="00EB253E">
        <w:rPr>
          <w:rFonts w:cs="Abz-2 (Badr)"/>
          <w:sz w:val="28"/>
          <w:szCs w:val="28"/>
          <w:rtl/>
        </w:rPr>
        <w:t>وإذا قصدت ب</w:t>
      </w:r>
      <w:r>
        <w:rPr>
          <w:rFonts w:cs="Abz-2 (Badr)" w:hint="cs"/>
          <w:sz w:val="28"/>
          <w:szCs w:val="28"/>
          <w:rtl/>
        </w:rPr>
        <w:t>ـ «</w:t>
      </w:r>
      <w:r w:rsidRPr="00EB253E">
        <w:rPr>
          <w:rFonts w:cs="Abz-2 (Badr)"/>
          <w:sz w:val="28"/>
          <w:szCs w:val="28"/>
          <w:rtl/>
        </w:rPr>
        <w:t>من</w:t>
      </w:r>
      <w:r>
        <w:rPr>
          <w:rFonts w:cs="Abz-2 (Badr)" w:hint="cs"/>
          <w:sz w:val="28"/>
          <w:szCs w:val="28"/>
          <w:rtl/>
        </w:rPr>
        <w:t>»</w:t>
      </w:r>
      <w:r w:rsidRPr="00EB253E">
        <w:rPr>
          <w:rFonts w:cs="Abz-2 (Badr)"/>
          <w:sz w:val="28"/>
          <w:szCs w:val="28"/>
          <w:rtl/>
        </w:rPr>
        <w:t xml:space="preserve"> مجرّد كون المجرور بها موضعا</w:t>
      </w:r>
      <w:r>
        <w:rPr>
          <w:rFonts w:cs="Abz-2 (Badr)" w:hint="cs"/>
          <w:sz w:val="28"/>
          <w:szCs w:val="28"/>
          <w:rtl/>
        </w:rPr>
        <w:t>ً</w:t>
      </w:r>
      <w:r w:rsidRPr="00EB253E">
        <w:rPr>
          <w:rFonts w:cs="Abz-2 (Badr)"/>
          <w:sz w:val="28"/>
          <w:szCs w:val="28"/>
          <w:rtl/>
        </w:rPr>
        <w:t xml:space="preserve"> انفصل عنه الشيء وخرج منه لا كونه مبتد</w:t>
      </w:r>
      <w:r>
        <w:rPr>
          <w:rFonts w:cs="Abz-2 (Badr)" w:hint="cs"/>
          <w:sz w:val="28"/>
          <w:szCs w:val="28"/>
          <w:rtl/>
        </w:rPr>
        <w:t>ئاً</w:t>
      </w:r>
      <w:r w:rsidRPr="00EB253E">
        <w:rPr>
          <w:rFonts w:cs="Abz-2 (Badr)"/>
          <w:sz w:val="28"/>
          <w:szCs w:val="28"/>
          <w:rtl/>
        </w:rPr>
        <w:t xml:space="preserve"> لشيء ممتدّ، جاز أن يقع موقعه «عن»</w:t>
      </w:r>
      <w:r>
        <w:rPr>
          <w:rFonts w:cs="Abz-2 (Badr)" w:hint="cs"/>
          <w:sz w:val="28"/>
          <w:szCs w:val="28"/>
          <w:rtl/>
        </w:rPr>
        <w:t>،</w:t>
      </w:r>
      <w:r w:rsidRPr="00EB253E">
        <w:rPr>
          <w:rFonts w:cs="Abz-2 (Badr)"/>
          <w:sz w:val="28"/>
          <w:szCs w:val="28"/>
          <w:rtl/>
        </w:rPr>
        <w:t xml:space="preserve"> لأن</w:t>
      </w:r>
      <w:r>
        <w:rPr>
          <w:rFonts w:cs="Abz-2 (Badr)" w:hint="cs"/>
          <w:sz w:val="28"/>
          <w:szCs w:val="28"/>
          <w:rtl/>
        </w:rPr>
        <w:t>ّ</w:t>
      </w:r>
      <w:r w:rsidRPr="00EB253E">
        <w:rPr>
          <w:rFonts w:cs="Abz-2 (Badr)"/>
          <w:sz w:val="28"/>
          <w:szCs w:val="28"/>
          <w:rtl/>
        </w:rPr>
        <w:t xml:space="preserve">ها لمجرد التجاوز كما يجيء، تقول: </w:t>
      </w:r>
      <w:r>
        <w:rPr>
          <w:rFonts w:cs="Abz-2 (Badr)" w:hint="cs"/>
          <w:sz w:val="28"/>
          <w:szCs w:val="28"/>
          <w:rtl/>
        </w:rPr>
        <w:t>«</w:t>
      </w:r>
      <w:r w:rsidRPr="00EB253E">
        <w:rPr>
          <w:rFonts w:cs="Abz-2 (Badr)"/>
          <w:sz w:val="28"/>
          <w:szCs w:val="28"/>
          <w:rtl/>
        </w:rPr>
        <w:t>خرجت من المكان وأخرج عنه</w:t>
      </w:r>
      <w:r>
        <w:rPr>
          <w:rFonts w:cs="Abz-2 (Badr)" w:hint="cs"/>
          <w:sz w:val="28"/>
          <w:szCs w:val="28"/>
          <w:rtl/>
        </w:rPr>
        <w:t>»</w:t>
      </w:r>
      <w:r w:rsidRPr="00EB253E">
        <w:rPr>
          <w:rFonts w:cs="Abz-2 (Badr)"/>
          <w:sz w:val="28"/>
          <w:szCs w:val="28"/>
          <w:rtl/>
        </w:rPr>
        <w:t>، و</w:t>
      </w:r>
      <w:r>
        <w:rPr>
          <w:rFonts w:cs="Abz-2 (Badr)" w:hint="cs"/>
          <w:sz w:val="28"/>
          <w:szCs w:val="28"/>
          <w:rtl/>
        </w:rPr>
        <w:t>«</w:t>
      </w:r>
      <w:r w:rsidRPr="00EB253E">
        <w:rPr>
          <w:rFonts w:cs="Abz-2 (Badr)"/>
          <w:sz w:val="28"/>
          <w:szCs w:val="28"/>
          <w:rtl/>
        </w:rPr>
        <w:t>انفصلت منه وعنه</w:t>
      </w:r>
      <w:r>
        <w:rPr>
          <w:rFonts w:cs="Abz-2 (Badr)" w:hint="cs"/>
          <w:sz w:val="28"/>
          <w:szCs w:val="28"/>
          <w:rtl/>
        </w:rPr>
        <w:t>»</w:t>
      </w:r>
      <w:r w:rsidRPr="00EB253E">
        <w:rPr>
          <w:rFonts w:cs="Abz-2 (Badr)"/>
          <w:sz w:val="28"/>
          <w:szCs w:val="28"/>
          <w:rtl/>
        </w:rPr>
        <w:t>، و</w:t>
      </w:r>
      <w:r>
        <w:rPr>
          <w:rFonts w:cs="Abz-2 (Badr)" w:hint="cs"/>
          <w:sz w:val="28"/>
          <w:szCs w:val="28"/>
          <w:rtl/>
        </w:rPr>
        <w:t>«</w:t>
      </w:r>
      <w:r w:rsidRPr="00EB253E">
        <w:rPr>
          <w:rFonts w:cs="Abz-2 (Badr)"/>
          <w:sz w:val="28"/>
          <w:szCs w:val="28"/>
          <w:rtl/>
        </w:rPr>
        <w:t>نهيت من كذا وعنه</w:t>
      </w:r>
      <w:r>
        <w:rPr>
          <w:rFonts w:cs="Abz-2 (Badr)" w:hint="cs"/>
          <w:sz w:val="28"/>
          <w:szCs w:val="28"/>
          <w:rtl/>
        </w:rPr>
        <w:t>».</w:t>
      </w:r>
      <w:r w:rsidRPr="004E41F2">
        <w:rPr>
          <w:rFonts w:cs="2  Mitra" w:hint="cs"/>
          <w:sz w:val="28"/>
          <w:szCs w:val="28"/>
          <w:rtl/>
          <w:lang w:bidi="fa-IR"/>
        </w:rPr>
        <w:t>»</w:t>
      </w:r>
      <w:r w:rsidRPr="00D606E9">
        <w:rPr>
          <w:rStyle w:val="FootnoteReference"/>
          <w:rFonts w:cs="2  Mitra"/>
          <w:sz w:val="28"/>
          <w:szCs w:val="28"/>
          <w:rtl/>
          <w:lang w:bidi="fa-IR"/>
        </w:rPr>
        <w:footnoteReference w:id="6"/>
      </w:r>
      <w:r w:rsidRPr="003A6553">
        <w:rPr>
          <w:rFonts w:cs="Abz-2 (Badr)" w:hint="cs"/>
          <w:sz w:val="28"/>
          <w:szCs w:val="28"/>
          <w:rtl/>
          <w:lang w:bidi="fa-IR"/>
        </w:rPr>
        <w:t>‏</w:t>
      </w:r>
    </w:p>
    <w:p w14:paraId="7E1CE75D" w14:textId="77777777" w:rsidR="00177AFD" w:rsidRPr="00696F25" w:rsidRDefault="00177AFD" w:rsidP="00177AFD">
      <w:pPr>
        <w:widowControl w:val="0"/>
        <w:bidi/>
        <w:spacing w:before="240" w:line="259" w:lineRule="auto"/>
        <w:ind w:firstLine="289"/>
        <w:jc w:val="both"/>
        <w:rPr>
          <w:rFonts w:cs="Abz-2 (Badr)"/>
          <w:sz w:val="28"/>
          <w:szCs w:val="28"/>
          <w:rtl/>
          <w:lang w:bidi="fa-IR"/>
        </w:rPr>
      </w:pPr>
      <w:r>
        <w:rPr>
          <w:rFonts w:cs="2  Mitra" w:hint="cs"/>
          <w:sz w:val="28"/>
          <w:szCs w:val="28"/>
          <w:rtl/>
          <w:lang w:bidi="fa-IR"/>
        </w:rPr>
        <w:t>بنابر این بحث را باید در دو مقام پی بگیریم که اولی مربوط به منطوق غايت و دومی مربوط به مفهوم آن است و در جلسات آينده به آنها خواهيم پرداخت ان شاء الله.</w:t>
      </w:r>
    </w:p>
    <w:p w14:paraId="35E4C64F" w14:textId="77777777" w:rsidR="00177AFD" w:rsidRPr="00C10F36" w:rsidRDefault="00177AFD" w:rsidP="00177AFD">
      <w:pPr>
        <w:widowControl w:val="0"/>
        <w:bidi/>
        <w:spacing w:line="259" w:lineRule="auto"/>
        <w:ind w:firstLine="284"/>
        <w:jc w:val="center"/>
        <w:rPr>
          <w:rFonts w:cs="2  Mitra"/>
          <w:sz w:val="28"/>
          <w:szCs w:val="28"/>
          <w:rtl/>
          <w:lang w:bidi="fa-IR"/>
        </w:rPr>
      </w:pPr>
    </w:p>
    <w:p w14:paraId="7D9979DE" w14:textId="26D41A3F" w:rsidR="001B24FC" w:rsidRPr="00787A1C" w:rsidRDefault="001B24FC" w:rsidP="00787A1C">
      <w:pPr>
        <w:rPr>
          <w:rtl/>
        </w:rPr>
      </w:pPr>
    </w:p>
    <w:sectPr w:rsidR="001B24FC" w:rsidRPr="00787A1C" w:rsidSect="008666ED">
      <w:headerReference w:type="default" r:id="rId7"/>
      <w:footerReference w:type="default" r:id="rId8"/>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B19E65" w14:textId="77777777" w:rsidR="0004332D" w:rsidRDefault="0004332D" w:rsidP="00C336C5">
      <w:pPr>
        <w:spacing w:after="0" w:line="240" w:lineRule="auto"/>
      </w:pPr>
      <w:r>
        <w:separator/>
      </w:r>
    </w:p>
  </w:endnote>
  <w:endnote w:type="continuationSeparator" w:id="0">
    <w:p w14:paraId="10369F72" w14:textId="77777777" w:rsidR="0004332D" w:rsidRDefault="0004332D" w:rsidP="00C336C5">
      <w:pPr>
        <w:spacing w:after="0" w:line="240" w:lineRule="auto"/>
      </w:pPr>
      <w:r>
        <w:continuationSeparator/>
      </w:r>
    </w:p>
  </w:endnote>
  <w:endnote w:type="continuationNotice" w:id="1">
    <w:p w14:paraId="115AEB77" w14:textId="77777777" w:rsidR="0004332D" w:rsidRDefault="0004332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3" w:usb2="00000008" w:usb3="00000000" w:csb0="000000D3"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BCD531" w14:textId="77777777" w:rsidR="0004332D" w:rsidRDefault="0004332D" w:rsidP="00C336C5">
      <w:pPr>
        <w:bidi/>
        <w:spacing w:after="0" w:line="240" w:lineRule="auto"/>
      </w:pPr>
      <w:r>
        <w:separator/>
      </w:r>
    </w:p>
  </w:footnote>
  <w:footnote w:type="continuationSeparator" w:id="0">
    <w:p w14:paraId="51BF5A63" w14:textId="77777777" w:rsidR="0004332D" w:rsidRDefault="0004332D" w:rsidP="00C336C5">
      <w:pPr>
        <w:spacing w:after="0" w:line="240" w:lineRule="auto"/>
      </w:pPr>
      <w:r>
        <w:continuationSeparator/>
      </w:r>
    </w:p>
  </w:footnote>
  <w:footnote w:type="continuationNotice" w:id="1">
    <w:p w14:paraId="2D3412DE" w14:textId="77777777" w:rsidR="0004332D" w:rsidRDefault="0004332D">
      <w:pPr>
        <w:spacing w:after="0" w:line="240" w:lineRule="auto"/>
      </w:pPr>
    </w:p>
  </w:footnote>
  <w:footnote w:id="2">
    <w:p w14:paraId="2498915A" w14:textId="77777777" w:rsidR="00177AFD" w:rsidRPr="00DE53E8" w:rsidRDefault="00177AFD" w:rsidP="00177AFD">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ـ البقرة(2):187.</w:t>
      </w:r>
    </w:p>
  </w:footnote>
  <w:footnote w:id="3">
    <w:p w14:paraId="0C0CFC92" w14:textId="77777777" w:rsidR="00177AFD" w:rsidRPr="00DE53E8" w:rsidRDefault="00177AFD" w:rsidP="00177AFD">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ـ مطارح الأنظار،ج2،ص93 - 95.</w:t>
      </w:r>
    </w:p>
  </w:footnote>
  <w:footnote w:id="4">
    <w:p w14:paraId="69421C77" w14:textId="77777777" w:rsidR="00177AFD" w:rsidRPr="00DE53E8" w:rsidRDefault="00177AFD" w:rsidP="00177AFD">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 xml:space="preserve">ـ </w:t>
      </w:r>
      <w:r>
        <w:rPr>
          <w:rFonts w:cs="Abz-2 (Badr)" w:hint="cs"/>
          <w:rtl/>
        </w:rPr>
        <w:t>کتاب العين،ج4،ص457.</w:t>
      </w:r>
    </w:p>
  </w:footnote>
  <w:footnote w:id="5">
    <w:p w14:paraId="284B009C" w14:textId="77777777" w:rsidR="00177AFD" w:rsidRPr="00DE53E8" w:rsidRDefault="00177AFD" w:rsidP="00177AFD">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 xml:space="preserve">ـ </w:t>
      </w:r>
      <w:r>
        <w:rPr>
          <w:rFonts w:cs="Abz-2 (Badr)" w:hint="cs"/>
          <w:rtl/>
        </w:rPr>
        <w:t>لسان العرب،ج15،ص143.</w:t>
      </w:r>
    </w:p>
  </w:footnote>
  <w:footnote w:id="6">
    <w:p w14:paraId="6063326B" w14:textId="77777777" w:rsidR="00177AFD" w:rsidRPr="00DE53E8" w:rsidRDefault="00177AFD" w:rsidP="00177AFD">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 xml:space="preserve">ـ </w:t>
      </w:r>
      <w:r>
        <w:rPr>
          <w:rFonts w:cs="Abz-2 (Badr)" w:hint="cs"/>
          <w:rtl/>
        </w:rPr>
        <w:t>شرح الرضي علی الکافيه،ج4،ص263 - 265.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C06B6" w14:textId="23AAAAE8" w:rsidR="008666ED" w:rsidRDefault="008666ED">
    <w:pPr>
      <w:pStyle w:val="Header"/>
    </w:pPr>
    <w:r>
      <w:rPr>
        <w:noProof/>
      </w:rPr>
      <mc:AlternateContent>
        <mc:Choice Requires="wps">
          <w:drawing>
            <wp:anchor distT="45720" distB="45720" distL="114300" distR="114300" simplePos="0" relativeHeight="251661312" behindDoc="0" locked="0" layoutInCell="1" allowOverlap="1" wp14:anchorId="656B4452" wp14:editId="011E38FF">
              <wp:simplePos x="0" y="0"/>
              <wp:positionH relativeFrom="column">
                <wp:posOffset>2080895</wp:posOffset>
              </wp:positionH>
              <wp:positionV relativeFrom="paragraph">
                <wp:posOffset>266700</wp:posOffset>
              </wp:positionV>
              <wp:extent cx="4284345" cy="1476375"/>
              <wp:effectExtent l="0" t="0" r="190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4345" cy="1476375"/>
                      </a:xfrm>
                      <a:prstGeom prst="rect">
                        <a:avLst/>
                      </a:prstGeom>
                      <a:solidFill>
                        <a:srgbClr val="FFFFFF"/>
                      </a:solidFill>
                      <a:ln w="9525">
                        <a:noFill/>
                        <a:miter lim="800000"/>
                        <a:headEnd/>
                        <a:tailEnd/>
                      </a:ln>
                    </wps:spPr>
                    <wps:txb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3D61752C"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177AFD">
                            <w:rPr>
                              <w:rFonts w:cs="B Mehr" w:hint="cs"/>
                              <w:rtl/>
                              <w:lang w:bidi="fa-IR"/>
                            </w:rPr>
                            <w:t>یک</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177AFD">
                            <w:rPr>
                              <w:rFonts w:cs="B Mehr" w:hint="cs"/>
                              <w:rtl/>
                              <w:lang w:bidi="fa-IR"/>
                            </w:rPr>
                            <w:t>14</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6B4452" id="_x0000_t202" coordsize="21600,21600" o:spt="202" path="m,l,21600r21600,l21600,xe">
              <v:stroke joinstyle="miter"/>
              <v:path gradientshapeok="t" o:connecttype="rect"/>
            </v:shapetype>
            <v:shape id="Text Box 2" o:spid="_x0000_s1026" type="#_x0000_t202" style="position:absolute;margin-left:163.85pt;margin-top:21pt;width:337.35pt;height:116.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" stroked="f">
              <v:textbo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3D61752C"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177AFD">
                      <w:rPr>
                        <w:rFonts w:cs="B Mehr" w:hint="cs"/>
                        <w:rtl/>
                        <w:lang w:bidi="fa-IR"/>
                      </w:rPr>
                      <w:t>یک</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177AFD">
                      <w:rPr>
                        <w:rFonts w:cs="B Mehr" w:hint="cs"/>
                        <w:rtl/>
                        <w:lang w:bidi="fa-IR"/>
                      </w:rPr>
                      <w:t>14</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BA0C3F3" wp14:editId="218A05B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332D"/>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4B14"/>
    <w:rsid w:val="000A6670"/>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2299"/>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77AF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1984"/>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5C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0F2"/>
    <w:rsid w:val="001F43C1"/>
    <w:rsid w:val="001F4576"/>
    <w:rsid w:val="001F462D"/>
    <w:rsid w:val="001F5B97"/>
    <w:rsid w:val="001F6B82"/>
    <w:rsid w:val="001F6F30"/>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30F"/>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4A0A"/>
    <w:rsid w:val="002C55DC"/>
    <w:rsid w:val="002C66AA"/>
    <w:rsid w:val="002C6D4F"/>
    <w:rsid w:val="002C6FF9"/>
    <w:rsid w:val="002C76EF"/>
    <w:rsid w:val="002D1A86"/>
    <w:rsid w:val="002D3163"/>
    <w:rsid w:val="002D4493"/>
    <w:rsid w:val="002D66CD"/>
    <w:rsid w:val="002D688D"/>
    <w:rsid w:val="002E0167"/>
    <w:rsid w:val="002E0803"/>
    <w:rsid w:val="002E11CF"/>
    <w:rsid w:val="002E228B"/>
    <w:rsid w:val="002E514A"/>
    <w:rsid w:val="002E5DFD"/>
    <w:rsid w:val="002E6148"/>
    <w:rsid w:val="002E6DCF"/>
    <w:rsid w:val="002E7556"/>
    <w:rsid w:val="002F208D"/>
    <w:rsid w:val="002F2BA5"/>
    <w:rsid w:val="002F6968"/>
    <w:rsid w:val="002F6A19"/>
    <w:rsid w:val="002F7E25"/>
    <w:rsid w:val="00301919"/>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362FB"/>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00A1"/>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1F23"/>
    <w:rsid w:val="004D2107"/>
    <w:rsid w:val="004D4221"/>
    <w:rsid w:val="004D5471"/>
    <w:rsid w:val="004D708B"/>
    <w:rsid w:val="004D72B0"/>
    <w:rsid w:val="004D7CED"/>
    <w:rsid w:val="004D7DC2"/>
    <w:rsid w:val="004E02CB"/>
    <w:rsid w:val="004E105A"/>
    <w:rsid w:val="004E1D63"/>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1C7"/>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82C"/>
    <w:rsid w:val="00565C43"/>
    <w:rsid w:val="00567E87"/>
    <w:rsid w:val="005708D5"/>
    <w:rsid w:val="00572BBD"/>
    <w:rsid w:val="00573336"/>
    <w:rsid w:val="00574B3D"/>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2EAD"/>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52E0"/>
    <w:rsid w:val="006B6619"/>
    <w:rsid w:val="006B6674"/>
    <w:rsid w:val="006B6AA8"/>
    <w:rsid w:val="006B6DBB"/>
    <w:rsid w:val="006B6E7B"/>
    <w:rsid w:val="006B7EBE"/>
    <w:rsid w:val="006C31C2"/>
    <w:rsid w:val="006C3CDC"/>
    <w:rsid w:val="006C45F8"/>
    <w:rsid w:val="006C58BA"/>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A1C"/>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439D"/>
    <w:rsid w:val="007C4585"/>
    <w:rsid w:val="007C7B38"/>
    <w:rsid w:val="007D03DD"/>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666ED"/>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32F5"/>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5BEC"/>
    <w:rsid w:val="00A47494"/>
    <w:rsid w:val="00A47653"/>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475"/>
    <w:rsid w:val="00AB4703"/>
    <w:rsid w:val="00AB4F0C"/>
    <w:rsid w:val="00AB4F10"/>
    <w:rsid w:val="00AB68FE"/>
    <w:rsid w:val="00AC2512"/>
    <w:rsid w:val="00AC314E"/>
    <w:rsid w:val="00AC4DAE"/>
    <w:rsid w:val="00AC5474"/>
    <w:rsid w:val="00AC7EC9"/>
    <w:rsid w:val="00AD0E33"/>
    <w:rsid w:val="00AD115A"/>
    <w:rsid w:val="00AD197E"/>
    <w:rsid w:val="00AD1D34"/>
    <w:rsid w:val="00AD1EBF"/>
    <w:rsid w:val="00AD1F78"/>
    <w:rsid w:val="00AD213B"/>
    <w:rsid w:val="00AD6601"/>
    <w:rsid w:val="00AD7938"/>
    <w:rsid w:val="00AD79F8"/>
    <w:rsid w:val="00AD7EE9"/>
    <w:rsid w:val="00AE012B"/>
    <w:rsid w:val="00AE0E95"/>
    <w:rsid w:val="00AE10FA"/>
    <w:rsid w:val="00AE1A44"/>
    <w:rsid w:val="00AE23E2"/>
    <w:rsid w:val="00AE2455"/>
    <w:rsid w:val="00AE39AE"/>
    <w:rsid w:val="00AE3B55"/>
    <w:rsid w:val="00AE40AE"/>
    <w:rsid w:val="00AE4542"/>
    <w:rsid w:val="00AE4939"/>
    <w:rsid w:val="00AF1201"/>
    <w:rsid w:val="00AF1402"/>
    <w:rsid w:val="00AF1947"/>
    <w:rsid w:val="00AF196A"/>
    <w:rsid w:val="00AF366E"/>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27663"/>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CF3A01"/>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3B1A"/>
    <w:rsid w:val="00D3581F"/>
    <w:rsid w:val="00D35BF7"/>
    <w:rsid w:val="00D36A6F"/>
    <w:rsid w:val="00D36E44"/>
    <w:rsid w:val="00D37116"/>
    <w:rsid w:val="00D37DEF"/>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2E20"/>
    <w:rsid w:val="00D946A9"/>
    <w:rsid w:val="00D95B6A"/>
    <w:rsid w:val="00D961EF"/>
    <w:rsid w:val="00D9715F"/>
    <w:rsid w:val="00DA2240"/>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5D9C"/>
    <w:rsid w:val="00E4673A"/>
    <w:rsid w:val="00E46BEC"/>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0B7E"/>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0D2"/>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506287488">
      <w:bodyDiv w:val="1"/>
      <w:marLeft w:val="0"/>
      <w:marRight w:val="0"/>
      <w:marTop w:val="0"/>
      <w:marBottom w:val="0"/>
      <w:divBdr>
        <w:top w:val="none" w:sz="0" w:space="0" w:color="auto"/>
        <w:left w:val="none" w:sz="0" w:space="0" w:color="auto"/>
        <w:bottom w:val="none" w:sz="0" w:space="0" w:color="auto"/>
        <w:right w:val="none" w:sz="0" w:space="0" w:color="auto"/>
      </w:divBdr>
    </w:div>
    <w:div w:id="549923524">
      <w:bodyDiv w:val="1"/>
      <w:marLeft w:val="0"/>
      <w:marRight w:val="0"/>
      <w:marTop w:val="0"/>
      <w:marBottom w:val="0"/>
      <w:divBdr>
        <w:top w:val="none" w:sz="0" w:space="0" w:color="auto"/>
        <w:left w:val="none" w:sz="0" w:space="0" w:color="auto"/>
        <w:bottom w:val="none" w:sz="0" w:space="0" w:color="auto"/>
        <w:right w:val="none" w:sz="0" w:space="0" w:color="auto"/>
      </w:divBdr>
    </w:div>
    <w:div w:id="762728557">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929771726">
      <w:bodyDiv w:val="1"/>
      <w:marLeft w:val="0"/>
      <w:marRight w:val="0"/>
      <w:marTop w:val="0"/>
      <w:marBottom w:val="0"/>
      <w:divBdr>
        <w:top w:val="none" w:sz="0" w:space="0" w:color="auto"/>
        <w:left w:val="none" w:sz="0" w:space="0" w:color="auto"/>
        <w:bottom w:val="none" w:sz="0" w:space="0" w:color="auto"/>
        <w:right w:val="none" w:sz="0" w:space="0" w:color="auto"/>
      </w:divBdr>
    </w:div>
    <w:div w:id="930554205">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290280532">
      <w:bodyDiv w:val="1"/>
      <w:marLeft w:val="0"/>
      <w:marRight w:val="0"/>
      <w:marTop w:val="0"/>
      <w:marBottom w:val="0"/>
      <w:divBdr>
        <w:top w:val="none" w:sz="0" w:space="0" w:color="auto"/>
        <w:left w:val="none" w:sz="0" w:space="0" w:color="auto"/>
        <w:bottom w:val="none" w:sz="0" w:space="0" w:color="auto"/>
        <w:right w:val="none" w:sz="0" w:space="0" w:color="auto"/>
      </w:divBdr>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687096677">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21019651">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4088</TotalTime>
  <Pages>1</Pages>
  <Words>478</Words>
  <Characters>2729</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1153</cp:revision>
  <cp:lastPrinted>2025-04-15T09:36:00Z</cp:lastPrinted>
  <dcterms:created xsi:type="dcterms:W3CDTF">2022-10-16T08:36:00Z</dcterms:created>
  <dcterms:modified xsi:type="dcterms:W3CDTF">2025-05-05T04:18:00Z</dcterms:modified>
</cp:coreProperties>
</file>