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BCF25" w14:textId="77777777" w:rsidR="002A330F" w:rsidRPr="00C27AEE" w:rsidRDefault="002A330F" w:rsidP="002A330F">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32D6C4F0" w14:textId="77777777" w:rsidR="002A330F" w:rsidRDefault="002A330F" w:rsidP="002A330F">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744E06D2" w14:textId="77777777" w:rsidR="002A330F" w:rsidRDefault="002A330F" w:rsidP="002A330F">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916</w:t>
      </w:r>
    </w:p>
    <w:bookmarkEnd w:id="0"/>
    <w:p w14:paraId="7068AC1C" w14:textId="77777777" w:rsidR="002A330F" w:rsidRDefault="002A330F" w:rsidP="002A330F">
      <w:pPr>
        <w:widowControl w:val="0"/>
        <w:bidi/>
        <w:spacing w:before="240" w:line="247" w:lineRule="auto"/>
        <w:ind w:firstLine="289"/>
        <w:jc w:val="both"/>
        <w:rPr>
          <w:rFonts w:ascii="Amiri" w:hAnsi="Amiri" w:cs="Amiri"/>
          <w:b/>
          <w:bCs/>
          <w:sz w:val="24"/>
          <w:szCs w:val="24"/>
          <w:rtl/>
          <w:lang w:bidi="fa-IR"/>
        </w:rPr>
      </w:pPr>
    </w:p>
    <w:p w14:paraId="7A9F97E4" w14:textId="77777777" w:rsidR="002A330F" w:rsidRDefault="002A330F" w:rsidP="002A330F">
      <w:pPr>
        <w:widowControl w:val="0"/>
        <w:bidi/>
        <w:spacing w:before="240" w:line="259" w:lineRule="auto"/>
        <w:ind w:firstLine="289"/>
        <w:jc w:val="both"/>
        <w:rPr>
          <w:rFonts w:cs="2  Mitra"/>
          <w:sz w:val="28"/>
          <w:szCs w:val="28"/>
          <w:rtl/>
          <w:lang w:bidi="fa-IR"/>
        </w:rPr>
      </w:pPr>
      <w:r>
        <w:rPr>
          <w:rFonts w:cs="2  Mitra" w:hint="cs"/>
          <w:sz w:val="28"/>
          <w:szCs w:val="28"/>
          <w:rtl/>
          <w:lang w:bidi="fa-IR"/>
        </w:rPr>
        <w:t>جلسه قبل در مورد مدعای مرحوم صاحب قوانين در خصوص وجه تفصيل بین وصف غالبی و غیر آن و نيز اشکال مرحوم شیخ بر این مدعا، صحبت کردیم.</w:t>
      </w:r>
    </w:p>
    <w:p w14:paraId="5793116B" w14:textId="77777777" w:rsidR="002A330F" w:rsidRDefault="002A330F" w:rsidP="002A330F">
      <w:pPr>
        <w:widowControl w:val="0"/>
        <w:bidi/>
        <w:spacing w:before="240" w:line="259" w:lineRule="auto"/>
        <w:ind w:firstLine="289"/>
        <w:jc w:val="both"/>
        <w:rPr>
          <w:rFonts w:cs="2  Mitra"/>
          <w:sz w:val="28"/>
          <w:szCs w:val="28"/>
          <w:rtl/>
          <w:lang w:bidi="fa-IR"/>
        </w:rPr>
      </w:pPr>
      <w:r>
        <w:rPr>
          <w:rFonts w:cs="2  Mitra" w:hint="cs"/>
          <w:sz w:val="28"/>
          <w:szCs w:val="28"/>
          <w:rtl/>
          <w:lang w:bidi="fa-IR"/>
        </w:rPr>
        <w:t>مرحوم محقق اصفهانی نيز در خصوص اين تفصيل می</w:t>
      </w:r>
      <w:r>
        <w:rPr>
          <w:rFonts w:cs="2  Mitra"/>
          <w:sz w:val="28"/>
          <w:szCs w:val="28"/>
          <w:rtl/>
          <w:lang w:bidi="fa-IR"/>
        </w:rPr>
        <w:softHyphen/>
      </w:r>
      <w:r>
        <w:rPr>
          <w:rFonts w:cs="2  Mitra" w:hint="cs"/>
          <w:sz w:val="28"/>
          <w:szCs w:val="28"/>
          <w:rtl/>
          <w:lang w:bidi="fa-IR"/>
        </w:rPr>
        <w:t>فرماید: ممکن است گمان شود که غلبه، سبب انصراف مطلق به فرد غالب می</w:t>
      </w:r>
      <w:r>
        <w:rPr>
          <w:rFonts w:cs="2  Mitra"/>
          <w:sz w:val="28"/>
          <w:szCs w:val="28"/>
          <w:rtl/>
          <w:lang w:bidi="fa-IR"/>
        </w:rPr>
        <w:softHyphen/>
      </w:r>
      <w:r>
        <w:rPr>
          <w:rFonts w:cs="2  Mitra" w:hint="cs"/>
          <w:sz w:val="28"/>
          <w:szCs w:val="28"/>
          <w:rtl/>
          <w:lang w:bidi="fa-IR"/>
        </w:rPr>
        <w:t>شود و در نتیجه تقیید به وصف غالبی، در حکم تقیید به وصف مساوی است که افاده مفهوم نمی</w:t>
      </w:r>
      <w:r>
        <w:rPr>
          <w:rFonts w:cs="2  Mitra"/>
          <w:sz w:val="28"/>
          <w:szCs w:val="28"/>
          <w:rtl/>
          <w:lang w:bidi="fa-IR"/>
        </w:rPr>
        <w:softHyphen/>
      </w:r>
      <w:r>
        <w:rPr>
          <w:rFonts w:cs="2  Mitra" w:hint="cs"/>
          <w:sz w:val="28"/>
          <w:szCs w:val="28"/>
          <w:rtl/>
          <w:lang w:bidi="fa-IR"/>
        </w:rPr>
        <w:t>کند.</w:t>
      </w:r>
    </w:p>
    <w:p w14:paraId="40101EFF" w14:textId="77777777" w:rsidR="002A330F" w:rsidRDefault="002A330F" w:rsidP="002A330F">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پاسخ این است که اولاً: غلبه خارجیه موجب انصراف نمی</w:t>
      </w:r>
      <w:r>
        <w:rPr>
          <w:rFonts w:cs="2  Mitra"/>
          <w:sz w:val="28"/>
          <w:szCs w:val="28"/>
          <w:rtl/>
          <w:lang w:bidi="fa-IR"/>
        </w:rPr>
        <w:softHyphen/>
      </w:r>
      <w:r>
        <w:rPr>
          <w:rFonts w:cs="2  Mitra" w:hint="cs"/>
          <w:sz w:val="28"/>
          <w:szCs w:val="28"/>
          <w:rtl/>
          <w:lang w:bidi="fa-IR"/>
        </w:rPr>
        <w:t>شود. و ثانياً: انصراف، وصف را به مثابه وصف مساوی قرار نمی</w:t>
      </w:r>
      <w:r>
        <w:rPr>
          <w:rFonts w:cs="2  Mitra"/>
          <w:sz w:val="28"/>
          <w:szCs w:val="28"/>
          <w:rtl/>
          <w:lang w:bidi="fa-IR"/>
        </w:rPr>
        <w:softHyphen/>
      </w:r>
      <w:r>
        <w:rPr>
          <w:rFonts w:cs="2  Mitra" w:hint="cs"/>
          <w:sz w:val="28"/>
          <w:szCs w:val="28"/>
          <w:rtl/>
          <w:lang w:bidi="fa-IR"/>
        </w:rPr>
        <w:t>دهد، زيرا امکان ثبوت موصوف در فرد نادر هنوز وجود دارد. و ثالثاً: التزام به انصراف، مخالف آن چیزی است که مشهور به آن در چيزی که در مورد غالب وارد شده است، ملتزم شده است، زيرا به واسطه آن مطلق را قید نزده</w:t>
      </w:r>
      <w:r>
        <w:rPr>
          <w:rFonts w:cs="2  Mitra"/>
          <w:sz w:val="28"/>
          <w:szCs w:val="28"/>
          <w:rtl/>
          <w:lang w:bidi="fa-IR"/>
        </w:rPr>
        <w:softHyphen/>
      </w:r>
      <w:r>
        <w:rPr>
          <w:rFonts w:cs="2  Mitra" w:hint="cs"/>
          <w:sz w:val="28"/>
          <w:szCs w:val="28"/>
          <w:rtl/>
          <w:lang w:bidi="fa-IR"/>
        </w:rPr>
        <w:t>اند، همان گونه که در مورد آيه شريفه اين گونه است.</w:t>
      </w:r>
      <w:r w:rsidRPr="00D606E9">
        <w:rPr>
          <w:rStyle w:val="FootnoteReference"/>
          <w:rFonts w:cs="2  Mitra"/>
          <w:sz w:val="28"/>
          <w:szCs w:val="28"/>
          <w:rtl/>
          <w:lang w:bidi="fa-IR"/>
        </w:rPr>
        <w:footnoteReference w:id="2"/>
      </w:r>
    </w:p>
    <w:p w14:paraId="4581F068" w14:textId="77777777" w:rsidR="002A330F" w:rsidRDefault="002A330F" w:rsidP="002A330F">
      <w:pPr>
        <w:widowControl w:val="0"/>
        <w:bidi/>
        <w:spacing w:before="240" w:line="259" w:lineRule="auto"/>
        <w:ind w:firstLine="289"/>
        <w:jc w:val="both"/>
        <w:rPr>
          <w:rFonts w:cs="2  Mitra"/>
          <w:sz w:val="28"/>
          <w:szCs w:val="28"/>
          <w:lang w:bidi="fa-IR"/>
        </w:rPr>
      </w:pPr>
      <w:r>
        <w:rPr>
          <w:rFonts w:cs="2  Mitra" w:hint="cs"/>
          <w:sz w:val="28"/>
          <w:szCs w:val="28"/>
          <w:rtl/>
          <w:lang w:bidi="fa-IR"/>
        </w:rPr>
        <w:t>حق نیز در اين مطلب با مرحوم شيخ و مرحوم محقق اصفهانی است و تفصيل بين وصف غالبی و غير آن در افاده مفهوم، وجهی ندارد و با اين مطلب، پاسخ مدعای ابن حاجب و عضدی نيز معلوم می</w:t>
      </w:r>
      <w:r>
        <w:rPr>
          <w:rFonts w:cs="2  Mitra"/>
          <w:sz w:val="28"/>
          <w:szCs w:val="28"/>
          <w:rtl/>
          <w:lang w:bidi="fa-IR"/>
        </w:rPr>
        <w:softHyphen/>
      </w:r>
      <w:r>
        <w:rPr>
          <w:rFonts w:cs="2  Mitra" w:hint="cs"/>
          <w:sz w:val="28"/>
          <w:szCs w:val="28"/>
          <w:rtl/>
          <w:lang w:bidi="fa-IR"/>
        </w:rPr>
        <w:t>شود.</w:t>
      </w:r>
    </w:p>
    <w:p w14:paraId="24F0A278" w14:textId="77777777" w:rsidR="002A330F" w:rsidRDefault="002A330F" w:rsidP="002A330F">
      <w:pPr>
        <w:widowControl w:val="0"/>
        <w:bidi/>
        <w:spacing w:before="240" w:line="252" w:lineRule="auto"/>
        <w:ind w:firstLine="289"/>
        <w:jc w:val="both"/>
        <w:rPr>
          <w:rFonts w:cs="2  Mitra"/>
          <w:sz w:val="28"/>
          <w:szCs w:val="28"/>
          <w:rtl/>
          <w:lang w:bidi="fa-IR"/>
        </w:rPr>
      </w:pPr>
      <w:r w:rsidRPr="006422A0">
        <w:rPr>
          <w:rFonts w:cs="2  Homa" w:hint="cs"/>
          <w:sz w:val="24"/>
          <w:szCs w:val="24"/>
          <w:rtl/>
          <w:lang w:bidi="fa-IR"/>
        </w:rPr>
        <w:t xml:space="preserve">تفصيل </w:t>
      </w:r>
      <w:r>
        <w:rPr>
          <w:rFonts w:cs="2  Homa" w:hint="cs"/>
          <w:sz w:val="24"/>
          <w:szCs w:val="24"/>
          <w:rtl/>
          <w:lang w:bidi="fa-IR"/>
        </w:rPr>
        <w:t>سوم</w:t>
      </w:r>
      <w:r w:rsidRPr="006422A0">
        <w:rPr>
          <w:rFonts w:cs="2  Homa" w:hint="cs"/>
          <w:sz w:val="24"/>
          <w:szCs w:val="24"/>
          <w:rtl/>
          <w:lang w:bidi="fa-IR"/>
        </w:rPr>
        <w:t>:</w:t>
      </w:r>
      <w:r>
        <w:rPr>
          <w:rFonts w:cs="2  Homa" w:hint="cs"/>
          <w:sz w:val="24"/>
          <w:szCs w:val="24"/>
          <w:rtl/>
          <w:lang w:bidi="fa-IR"/>
        </w:rPr>
        <w:t xml:space="preserve"> </w:t>
      </w:r>
      <w:r>
        <w:rPr>
          <w:rFonts w:cs="2  Mitra" w:hint="cs"/>
          <w:sz w:val="28"/>
          <w:szCs w:val="28"/>
          <w:rtl/>
          <w:lang w:bidi="fa-IR"/>
        </w:rPr>
        <w:t>مرحوم آيت الله خوئی در مسأله تفصیلی داده</w:t>
      </w:r>
      <w:r>
        <w:rPr>
          <w:rFonts w:cs="2  Mitra"/>
          <w:sz w:val="28"/>
          <w:szCs w:val="28"/>
          <w:rtl/>
          <w:lang w:bidi="fa-IR"/>
        </w:rPr>
        <w:softHyphen/>
      </w:r>
      <w:r>
        <w:rPr>
          <w:rFonts w:cs="2  Mitra" w:hint="cs"/>
          <w:sz w:val="28"/>
          <w:szCs w:val="28"/>
          <w:rtl/>
          <w:lang w:bidi="fa-IR"/>
        </w:rPr>
        <w:t>اند که در واقع مبتنی بر همان کلامی است که مرحوم شيخ انصاری از مرحوم شيخ بهایی نقل کرده است و تفصيل آن در استدلال سوم قائلين به افاده مفهوم توسط وصف گذشت.</w:t>
      </w:r>
    </w:p>
    <w:p w14:paraId="3E95A385" w14:textId="77777777" w:rsidR="002A330F" w:rsidRDefault="002A330F" w:rsidP="002A330F">
      <w:pPr>
        <w:widowControl w:val="0"/>
        <w:bidi/>
        <w:spacing w:before="240" w:line="252" w:lineRule="auto"/>
        <w:ind w:firstLine="289"/>
        <w:jc w:val="both"/>
        <w:rPr>
          <w:rFonts w:cs="2  Mitra"/>
          <w:sz w:val="28"/>
          <w:szCs w:val="28"/>
          <w:rtl/>
          <w:lang w:bidi="fa-IR"/>
        </w:rPr>
      </w:pPr>
      <w:r>
        <w:rPr>
          <w:rFonts w:cs="2  Mitra" w:hint="cs"/>
          <w:sz w:val="28"/>
          <w:szCs w:val="28"/>
          <w:rtl/>
          <w:lang w:bidi="fa-IR"/>
        </w:rPr>
        <w:t>ايشان می</w:t>
      </w:r>
      <w:r>
        <w:rPr>
          <w:rFonts w:cs="2  Mitra"/>
          <w:sz w:val="28"/>
          <w:szCs w:val="28"/>
          <w:rtl/>
          <w:lang w:bidi="fa-IR"/>
        </w:rPr>
        <w:softHyphen/>
      </w:r>
      <w:r>
        <w:rPr>
          <w:rFonts w:cs="2  Mitra" w:hint="cs"/>
          <w:sz w:val="28"/>
          <w:szCs w:val="28"/>
          <w:rtl/>
          <w:lang w:bidi="fa-IR"/>
        </w:rPr>
        <w:t>فرماید: افاده مفهوم توسط وصف دو معنا می</w:t>
      </w:r>
      <w:r>
        <w:rPr>
          <w:rFonts w:cs="2  Mitra"/>
          <w:sz w:val="28"/>
          <w:szCs w:val="28"/>
          <w:rtl/>
          <w:lang w:bidi="fa-IR"/>
        </w:rPr>
        <w:softHyphen/>
      </w:r>
      <w:r>
        <w:rPr>
          <w:rFonts w:cs="2  Mitra" w:hint="cs"/>
          <w:sz w:val="28"/>
          <w:szCs w:val="28"/>
          <w:rtl/>
          <w:lang w:bidi="fa-IR"/>
        </w:rPr>
        <w:t>تواند داشته باشد:</w:t>
      </w:r>
    </w:p>
    <w:p w14:paraId="0DAEFB90" w14:textId="77777777" w:rsidR="002A330F" w:rsidRDefault="002A330F" w:rsidP="002A330F">
      <w:pPr>
        <w:widowControl w:val="0"/>
        <w:bidi/>
        <w:spacing w:before="240" w:line="252" w:lineRule="auto"/>
        <w:ind w:firstLine="289"/>
        <w:jc w:val="both"/>
        <w:rPr>
          <w:rFonts w:cs="2  Mitra"/>
          <w:sz w:val="28"/>
          <w:szCs w:val="28"/>
          <w:rtl/>
          <w:lang w:bidi="fa-IR"/>
        </w:rPr>
      </w:pPr>
      <w:r>
        <w:rPr>
          <w:rFonts w:cs="2  Mitra" w:hint="cs"/>
          <w:sz w:val="28"/>
          <w:szCs w:val="28"/>
          <w:rtl/>
          <w:lang w:bidi="fa-IR"/>
        </w:rPr>
        <w:t>1 ـ اين که با انتفاء وصف، حکم از هر حصه دیگری از موضوع منتفی می</w:t>
      </w:r>
      <w:r>
        <w:rPr>
          <w:rFonts w:cs="2  Mitra"/>
          <w:sz w:val="28"/>
          <w:szCs w:val="28"/>
          <w:rtl/>
          <w:lang w:bidi="fa-IR"/>
        </w:rPr>
        <w:softHyphen/>
      </w:r>
      <w:r>
        <w:rPr>
          <w:rFonts w:cs="2  Mitra" w:hint="cs"/>
          <w:sz w:val="28"/>
          <w:szCs w:val="28"/>
          <w:rtl/>
          <w:lang w:bidi="fa-IR"/>
        </w:rPr>
        <w:t xml:space="preserve">شود، به این معنا که اگر در دلیلی گفته شد: </w:t>
      </w:r>
      <w:r>
        <w:rPr>
          <w:rFonts w:cs="2  Mitra" w:hint="cs"/>
          <w:sz w:val="28"/>
          <w:szCs w:val="28"/>
          <w:rtl/>
          <w:lang w:bidi="fa-IR"/>
        </w:rPr>
        <w:lastRenderedPageBreak/>
        <w:t>«</w:t>
      </w:r>
      <w:r w:rsidRPr="00813D2C">
        <w:rPr>
          <w:rFonts w:cs="Abz-2 (Badr)" w:hint="cs"/>
          <w:sz w:val="28"/>
          <w:szCs w:val="28"/>
          <w:rtl/>
          <w:lang w:bidi="fa-IR"/>
        </w:rPr>
        <w:t>أکرم رجلاً عالماً</w:t>
      </w:r>
      <w:r>
        <w:rPr>
          <w:rFonts w:cs="2  Mitra" w:hint="cs"/>
          <w:sz w:val="28"/>
          <w:szCs w:val="28"/>
          <w:rtl/>
          <w:lang w:bidi="fa-IR"/>
        </w:rPr>
        <w:t>» مفهوم آن اين است که اکرام مردی که عالم نیست ولو عادل يا هنرمند يا متصف به هر وصف دیگری هم باشد، واجب نيست.</w:t>
      </w:r>
    </w:p>
    <w:p w14:paraId="0CF5796A" w14:textId="77777777" w:rsidR="002A330F" w:rsidRDefault="002A330F" w:rsidP="002A330F">
      <w:pPr>
        <w:widowControl w:val="0"/>
        <w:bidi/>
        <w:spacing w:before="240" w:line="262" w:lineRule="auto"/>
        <w:ind w:firstLine="289"/>
        <w:jc w:val="both"/>
        <w:rPr>
          <w:rFonts w:cs="2  Mitra"/>
          <w:sz w:val="28"/>
          <w:szCs w:val="28"/>
          <w:rtl/>
          <w:lang w:bidi="fa-IR"/>
        </w:rPr>
      </w:pPr>
      <w:r>
        <w:rPr>
          <w:rFonts w:cs="2  Mitra" w:hint="cs"/>
          <w:sz w:val="28"/>
          <w:szCs w:val="28"/>
          <w:rtl/>
          <w:lang w:bidi="fa-IR"/>
        </w:rPr>
        <w:t>2 ـ اين که با انتفاء وصف، حکم از موضوع مطلق منتفی می</w:t>
      </w:r>
      <w:r>
        <w:rPr>
          <w:rFonts w:cs="2  Mitra"/>
          <w:sz w:val="28"/>
          <w:szCs w:val="28"/>
          <w:rtl/>
          <w:lang w:bidi="fa-IR"/>
        </w:rPr>
        <w:softHyphen/>
      </w:r>
      <w:r>
        <w:rPr>
          <w:rFonts w:cs="2  Mitra" w:hint="cs"/>
          <w:sz w:val="28"/>
          <w:szCs w:val="28"/>
          <w:rtl/>
          <w:lang w:bidi="fa-IR"/>
        </w:rPr>
        <w:t>گردد، بدین معنا که در همان مثال بالا می</w:t>
      </w:r>
      <w:r>
        <w:rPr>
          <w:rFonts w:cs="2  Mitra"/>
          <w:sz w:val="28"/>
          <w:szCs w:val="28"/>
          <w:rtl/>
          <w:lang w:bidi="fa-IR"/>
        </w:rPr>
        <w:softHyphen/>
      </w:r>
      <w:r>
        <w:rPr>
          <w:rFonts w:cs="2  Mitra" w:hint="cs"/>
          <w:sz w:val="28"/>
          <w:szCs w:val="28"/>
          <w:rtl/>
          <w:lang w:bidi="fa-IR"/>
        </w:rPr>
        <w:t>توان ادعا نمود که مفهوم قضیه وصفیه مذکور اين است که: «</w:t>
      </w:r>
      <w:r w:rsidRPr="00E633D2">
        <w:rPr>
          <w:rFonts w:cs="Abz-2 (Badr)" w:hint="cs"/>
          <w:sz w:val="28"/>
          <w:szCs w:val="28"/>
          <w:rtl/>
          <w:lang w:bidi="fa-IR"/>
        </w:rPr>
        <w:t xml:space="preserve">لا يجب إکرام رجل </w:t>
      </w:r>
      <w:r>
        <w:rPr>
          <w:rFonts w:cs="Abz-2 (Badr)" w:hint="cs"/>
          <w:sz w:val="28"/>
          <w:szCs w:val="28"/>
          <w:rtl/>
          <w:lang w:bidi="fa-IR"/>
        </w:rPr>
        <w:t>بنحو مطلق</w:t>
      </w:r>
      <w:r>
        <w:rPr>
          <w:rFonts w:cs="2  Mitra" w:hint="cs"/>
          <w:sz w:val="28"/>
          <w:szCs w:val="28"/>
          <w:rtl/>
          <w:lang w:bidi="fa-IR"/>
        </w:rPr>
        <w:t>». به عبارت ديگر، قضیه وصفیه دلالت بر نفی حکم از طبیعی موصوف به نحو مطلق دارد.</w:t>
      </w:r>
    </w:p>
    <w:p w14:paraId="403F9087" w14:textId="77777777" w:rsidR="002A330F" w:rsidRDefault="002A330F" w:rsidP="002A330F">
      <w:pPr>
        <w:widowControl w:val="0"/>
        <w:bidi/>
        <w:spacing w:before="240" w:line="262" w:lineRule="auto"/>
        <w:ind w:firstLine="289"/>
        <w:jc w:val="both"/>
        <w:rPr>
          <w:rFonts w:cs="2  Mitra"/>
          <w:sz w:val="28"/>
          <w:szCs w:val="28"/>
          <w:rtl/>
          <w:lang w:bidi="fa-IR"/>
        </w:rPr>
      </w:pPr>
      <w:r>
        <w:rPr>
          <w:rFonts w:cs="2  Mitra" w:hint="cs"/>
          <w:sz w:val="28"/>
          <w:szCs w:val="28"/>
          <w:rtl/>
          <w:lang w:bidi="fa-IR"/>
        </w:rPr>
        <w:t>اگر مراد از افاده مفهوم توسط وصف، معنای اول باشد، معلوم است که جمله وصفیه چنین دلالتی ندارد، زيرا ثبوت حکم برای حصه خاصی از موضوع، منافاتی با ثبوت آن برای حصه دیگری از آن ندارد. اما اگر منظور معنای دوم باشد، این مطلب قابل التزام است و سرّ آن نيز در احترازی بودن قیودات موضوع است.</w:t>
      </w:r>
    </w:p>
    <w:p w14:paraId="61986DA6" w14:textId="77777777" w:rsidR="002A330F" w:rsidRDefault="002A330F" w:rsidP="002A330F">
      <w:pPr>
        <w:widowControl w:val="0"/>
        <w:bidi/>
        <w:spacing w:before="240" w:line="262" w:lineRule="auto"/>
        <w:ind w:firstLine="289"/>
        <w:jc w:val="both"/>
        <w:rPr>
          <w:rFonts w:cs="2  Mitra"/>
          <w:sz w:val="28"/>
          <w:szCs w:val="28"/>
          <w:rtl/>
          <w:lang w:bidi="fa-IR"/>
        </w:rPr>
      </w:pPr>
      <w:r>
        <w:rPr>
          <w:rFonts w:cs="2  Mitra" w:hint="cs"/>
          <w:sz w:val="28"/>
          <w:szCs w:val="28"/>
          <w:rtl/>
          <w:lang w:bidi="fa-IR"/>
        </w:rPr>
        <w:t>سپس در ادامه کلام خود فرموده</w:t>
      </w:r>
      <w:r>
        <w:rPr>
          <w:rFonts w:cs="2  Mitra"/>
          <w:sz w:val="28"/>
          <w:szCs w:val="28"/>
          <w:rtl/>
          <w:lang w:bidi="fa-IR"/>
        </w:rPr>
        <w:softHyphen/>
      </w:r>
      <w:r>
        <w:rPr>
          <w:rFonts w:cs="2  Mitra" w:hint="cs"/>
          <w:sz w:val="28"/>
          <w:szCs w:val="28"/>
          <w:rtl/>
          <w:lang w:bidi="fa-IR"/>
        </w:rPr>
        <w:t xml:space="preserve">اند: </w:t>
      </w:r>
      <w:r w:rsidRPr="00D606E9">
        <w:rPr>
          <w:rFonts w:cs="2  Mitra" w:hint="cs"/>
          <w:sz w:val="28"/>
          <w:szCs w:val="28"/>
          <w:rtl/>
          <w:lang w:bidi="fa-IR"/>
        </w:rPr>
        <w:t>«</w:t>
      </w:r>
      <w:r w:rsidRPr="00D606E9">
        <w:rPr>
          <w:rFonts w:ascii="Traditional Arabic" w:eastAsia="Times New Roman" w:hAnsi="Traditional Arabic" w:cs="Abz-2 (Badr)" w:hint="cs"/>
          <w:color w:val="000000" w:themeColor="text1"/>
          <w:sz w:val="28"/>
          <w:szCs w:val="28"/>
          <w:rtl/>
          <w:lang w:bidi="fa-IR"/>
        </w:rPr>
        <w:t>إنّ هذه النقطة التي ذكرناها قد أُهملت في كلمات الأصحاب ولم يتعرّضوا لها في المقام، لا نفياً ولا إثباتاً، مع أنّ لها ثمرة مهمّة في الفقه، منها: ما في مسألة حمل المطلق على المقيّد حيث إنّ المشهور قد خصّوا تلك المسألة ـ فيما إذا كانا مثبتين أو منفيين ـ بما إذا كان التكليف فيهما واحداً، وأمّا إذا كان متعدّداً فلا يحملوا المطلق على المقيّد. وأمّا على ضوء ما ذكرناه من النقطتين فيحمل المطلق على المقيّد ولو كان التكليف متعدّداً، كما إذا ورد في دليل: «لا تكرم عالماً»، وورد في دليل آخر: «لا تكرم عالماً فاسقاً»، فانّه يحمل الأوّل على الثاني مع أنّ التكليف فيهما انحلالي. وكذا إذا ورد في دليل: «أكرم العلماء» ثمّ ورد في دليل آخر: «أكرم العلماء العدول»، فيحمل الأوّل على الثاني، والنكتة في ذلك هي ظهور القيد في الاحتراز، يعني أنّه يدلّ على أنّ الحكم ـ وهو وجوب الإكرام ـ لم يثبت للعالم على نحو الإطلاق وإنّما ثبت لحصّة خاصّة منه ـ وهو العالم العادل في المثال دون العالم مطلقاً ولو كان فاسقاً ـ ومن الواضح أنّه لا فرق في‏ دلالة القيد على ذلك بين كون التكليف واحداً أو متعدّداً.</w:t>
      </w:r>
      <w:r w:rsidRPr="00D606E9">
        <w:rPr>
          <w:rFonts w:cs="2  Mitra" w:hint="cs"/>
          <w:sz w:val="28"/>
          <w:szCs w:val="28"/>
          <w:rtl/>
          <w:lang w:bidi="fa-IR"/>
        </w:rPr>
        <w:t>»</w:t>
      </w:r>
      <w:r w:rsidRPr="00D606E9">
        <w:rPr>
          <w:rStyle w:val="FootnoteReference"/>
          <w:rFonts w:cs="2  Mitra"/>
          <w:sz w:val="28"/>
          <w:szCs w:val="28"/>
          <w:rtl/>
          <w:lang w:bidi="fa-IR"/>
        </w:rPr>
        <w:footnoteReference w:id="3"/>
      </w:r>
    </w:p>
    <w:p w14:paraId="2FB354A5" w14:textId="77777777" w:rsidR="002A330F" w:rsidRPr="00CA4A0D" w:rsidRDefault="002A330F" w:rsidP="002A330F">
      <w:pPr>
        <w:widowControl w:val="0"/>
        <w:bidi/>
        <w:spacing w:before="240" w:line="262" w:lineRule="auto"/>
        <w:ind w:firstLine="289"/>
        <w:jc w:val="both"/>
        <w:rPr>
          <w:rFonts w:cs="2  Mitra"/>
          <w:spacing w:val="-4"/>
          <w:sz w:val="28"/>
          <w:szCs w:val="28"/>
          <w:rtl/>
          <w:lang w:bidi="fa-IR"/>
        </w:rPr>
      </w:pPr>
      <w:r w:rsidRPr="00CA4A0D">
        <w:rPr>
          <w:rFonts w:cs="2  Mitra" w:hint="cs"/>
          <w:spacing w:val="-4"/>
          <w:sz w:val="28"/>
          <w:szCs w:val="28"/>
          <w:rtl/>
          <w:lang w:bidi="fa-IR"/>
        </w:rPr>
        <w:t xml:space="preserve">اما همان گونه که معلوم است، اين مدعا چيزی بجز مدعای مرحوم شيخ بهایی مبنی بر افاده مفهوم توسط وصف در فرضی که وصف در برابر مطلق باشد، نيست و بازگشت آن نيز در واقع به لغویت ذکر قید در صورت عدم افاده مفهوم توسط آن در چنين فرضی </w:t>
      </w:r>
      <w:r w:rsidRPr="00CA4A0D">
        <w:rPr>
          <w:rFonts w:cs="2  Mitra" w:hint="cs"/>
          <w:spacing w:val="-4"/>
          <w:sz w:val="28"/>
          <w:szCs w:val="28"/>
          <w:rtl/>
          <w:lang w:bidi="fa-IR"/>
        </w:rPr>
        <w:lastRenderedPageBreak/>
        <w:t>است، زيرا از آنجا که اصل در قیود بر احترازی بودن است و احترازی بودن نیز معنایی بجز این ندارد که حکم بر موضوع فاقد قید و به نحو مطلق، مترتب نمی</w:t>
      </w:r>
      <w:r w:rsidRPr="00CA4A0D">
        <w:rPr>
          <w:rFonts w:cs="2  Mitra"/>
          <w:spacing w:val="-4"/>
          <w:sz w:val="28"/>
          <w:szCs w:val="28"/>
          <w:rtl/>
          <w:lang w:bidi="fa-IR"/>
        </w:rPr>
        <w:softHyphen/>
      </w:r>
      <w:r w:rsidRPr="00CA4A0D">
        <w:rPr>
          <w:rFonts w:cs="2  Mitra" w:hint="cs"/>
          <w:spacing w:val="-4"/>
          <w:sz w:val="28"/>
          <w:szCs w:val="28"/>
          <w:rtl/>
          <w:lang w:bidi="fa-IR"/>
        </w:rPr>
        <w:t>شود، چنانچه وصف افاده چنين مفهومی نداشته باشد، ذکر آن لغو خواهد بود.</w:t>
      </w:r>
    </w:p>
    <w:p w14:paraId="0DC30188" w14:textId="77777777" w:rsidR="002A330F" w:rsidRDefault="002A330F" w:rsidP="002A330F">
      <w:pPr>
        <w:widowControl w:val="0"/>
        <w:bidi/>
        <w:spacing w:before="240" w:line="262" w:lineRule="auto"/>
        <w:ind w:firstLine="289"/>
        <w:jc w:val="both"/>
        <w:rPr>
          <w:rFonts w:cs="2  Mitra"/>
          <w:sz w:val="28"/>
          <w:szCs w:val="28"/>
          <w:rtl/>
          <w:lang w:bidi="fa-IR"/>
        </w:rPr>
      </w:pPr>
      <w:r w:rsidRPr="003A69AF">
        <w:rPr>
          <w:rFonts w:cs="2  Mitra" w:hint="cs"/>
          <w:spacing w:val="-2"/>
          <w:sz w:val="28"/>
          <w:szCs w:val="28"/>
          <w:rtl/>
          <w:lang w:bidi="fa-IR"/>
        </w:rPr>
        <w:t>ولی تفصیلی که ایشان در مسأله داده</w:t>
      </w:r>
      <w:r w:rsidRPr="003A69AF">
        <w:rPr>
          <w:rFonts w:cs="2  Mitra"/>
          <w:spacing w:val="-2"/>
          <w:sz w:val="28"/>
          <w:szCs w:val="28"/>
          <w:rtl/>
          <w:lang w:bidi="fa-IR"/>
        </w:rPr>
        <w:softHyphen/>
      </w:r>
      <w:r w:rsidRPr="003A69AF">
        <w:rPr>
          <w:rFonts w:cs="2  Mitra" w:hint="cs"/>
          <w:spacing w:val="-2"/>
          <w:sz w:val="28"/>
          <w:szCs w:val="28"/>
          <w:rtl/>
          <w:lang w:bidi="fa-IR"/>
        </w:rPr>
        <w:t>اند، قابل التزام نیست</w:t>
      </w:r>
      <w:r>
        <w:rPr>
          <w:rFonts w:cs="2  Mitra" w:hint="cs"/>
          <w:spacing w:val="-2"/>
          <w:sz w:val="28"/>
          <w:szCs w:val="28"/>
          <w:rtl/>
          <w:lang w:bidi="fa-IR"/>
        </w:rPr>
        <w:t xml:space="preserve"> و اشکال نقضی و حلی بر آن وارد است.</w:t>
      </w:r>
    </w:p>
    <w:p w14:paraId="0D1E6BBE" w14:textId="77777777" w:rsidR="002A330F" w:rsidRPr="000A3ED7" w:rsidRDefault="002A330F" w:rsidP="002A330F">
      <w:pPr>
        <w:widowControl w:val="0"/>
        <w:bidi/>
        <w:spacing w:before="240" w:line="262" w:lineRule="auto"/>
        <w:ind w:firstLine="289"/>
        <w:jc w:val="both"/>
        <w:rPr>
          <w:rFonts w:cs="2  Mitra"/>
          <w:sz w:val="28"/>
          <w:szCs w:val="28"/>
          <w:rtl/>
          <w:lang w:bidi="fa-IR"/>
        </w:rPr>
      </w:pPr>
    </w:p>
    <w:p w14:paraId="7D9979DE" w14:textId="26D41A3F" w:rsidR="001B24FC" w:rsidRPr="002A330F" w:rsidRDefault="001B24FC" w:rsidP="002A330F">
      <w:pPr>
        <w:rPr>
          <w:rtl/>
        </w:rPr>
      </w:pPr>
    </w:p>
    <w:sectPr w:rsidR="001B24FC" w:rsidRPr="002A330F"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976C9" w14:textId="77777777" w:rsidR="00AE4542" w:rsidRDefault="00AE4542" w:rsidP="00C336C5">
      <w:pPr>
        <w:spacing w:after="0" w:line="240" w:lineRule="auto"/>
      </w:pPr>
      <w:r>
        <w:separator/>
      </w:r>
    </w:p>
  </w:endnote>
  <w:endnote w:type="continuationSeparator" w:id="0">
    <w:p w14:paraId="086BA2AF" w14:textId="77777777" w:rsidR="00AE4542" w:rsidRDefault="00AE4542" w:rsidP="00C336C5">
      <w:pPr>
        <w:spacing w:after="0" w:line="240" w:lineRule="auto"/>
      </w:pPr>
      <w:r>
        <w:continuationSeparator/>
      </w:r>
    </w:p>
  </w:endnote>
  <w:endnote w:type="continuationNotice" w:id="1">
    <w:p w14:paraId="330F51C8" w14:textId="77777777" w:rsidR="00AE4542" w:rsidRDefault="00AE45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2  Homa">
    <w:panose1 w:val="00000400000000000000"/>
    <w:charset w:val="B2"/>
    <w:family w:val="auto"/>
    <w:pitch w:val="variable"/>
    <w:sig w:usb0="00002001" w:usb1="80000000" w:usb2="00000008" w:usb3="00000000" w:csb0="00000040" w:csb1="00000000"/>
  </w:font>
  <w:font w:name="Traditional Arabic">
    <w:panose1 w:val="02020603050405020304"/>
    <w:charset w:val="00"/>
    <w:family w:val="roman"/>
    <w:pitch w:val="variable"/>
    <w:sig w:usb0="00002003" w:usb1="80000000" w:usb2="00000008" w:usb3="00000000" w:csb0="00000041"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33A5E" w14:textId="77777777" w:rsidR="00AE4542" w:rsidRDefault="00AE4542" w:rsidP="00C336C5">
      <w:pPr>
        <w:bidi/>
        <w:spacing w:after="0" w:line="240" w:lineRule="auto"/>
      </w:pPr>
      <w:r>
        <w:separator/>
      </w:r>
    </w:p>
  </w:footnote>
  <w:footnote w:type="continuationSeparator" w:id="0">
    <w:p w14:paraId="399C2F67" w14:textId="77777777" w:rsidR="00AE4542" w:rsidRDefault="00AE4542" w:rsidP="00C336C5">
      <w:pPr>
        <w:spacing w:after="0" w:line="240" w:lineRule="auto"/>
      </w:pPr>
      <w:r>
        <w:continuationSeparator/>
      </w:r>
    </w:p>
  </w:footnote>
  <w:footnote w:type="continuationNotice" w:id="1">
    <w:p w14:paraId="3EDE0BCF" w14:textId="77777777" w:rsidR="00AE4542" w:rsidRDefault="00AE4542">
      <w:pPr>
        <w:spacing w:after="0" w:line="240" w:lineRule="auto"/>
      </w:pPr>
    </w:p>
  </w:footnote>
  <w:footnote w:id="2">
    <w:p w14:paraId="63180760" w14:textId="77777777" w:rsidR="002A330F" w:rsidRPr="00DE53E8" w:rsidRDefault="002A330F" w:rsidP="002A330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نهاية الدراية،ج2،ص437 و 438</w:t>
      </w:r>
      <w:r>
        <w:rPr>
          <w:rFonts w:cs="Abz-2 (Badr)" w:hint="cs"/>
          <w:rtl/>
          <w:lang w:bidi="fa-IR"/>
        </w:rPr>
        <w:t>.</w:t>
      </w:r>
    </w:p>
  </w:footnote>
  <w:footnote w:id="3">
    <w:p w14:paraId="2BDFE649" w14:textId="77777777" w:rsidR="002A330F" w:rsidRPr="00DE53E8" w:rsidRDefault="002A330F" w:rsidP="002A330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محاضرات في أُصول الفقه،ج4،ص278 - 281.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1BF703B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A330F">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A330F">
                            <w:rPr>
                              <w:rFonts w:cs="B Mehr" w:hint="cs"/>
                              <w:rtl/>
                              <w:lang w:bidi="fa-IR"/>
                            </w:rPr>
                            <w:t>07</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1BF703B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A330F">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A330F">
                      <w:rPr>
                        <w:rFonts w:cs="B Mehr" w:hint="cs"/>
                        <w:rtl/>
                        <w:lang w:bidi="fa-IR"/>
                      </w:rPr>
                      <w:t>07</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4086</TotalTime>
  <Pages>1</Pages>
  <Words>523</Words>
  <Characters>2983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1143</cp:revision>
  <cp:lastPrinted>2025-04-15T09:36:00Z</cp:lastPrinted>
  <dcterms:created xsi:type="dcterms:W3CDTF">2022-10-16T08:36:00Z</dcterms:created>
  <dcterms:modified xsi:type="dcterms:W3CDTF">2025-04-27T07:35:00Z</dcterms:modified>
</cp:coreProperties>
</file>