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0CE66A" w14:textId="77777777" w:rsidR="001A1984" w:rsidRPr="001A1984" w:rsidRDefault="001A1984" w:rsidP="001A1984">
      <w:pPr>
        <w:jc w:val="center"/>
        <w:rPr>
          <w:rFonts w:cs="QuranTaha"/>
          <w:sz w:val="28"/>
          <w:szCs w:val="28"/>
          <w:lang w:bidi="fa-IR"/>
        </w:rPr>
      </w:pPr>
      <w:r w:rsidRPr="001A1984">
        <w:rPr>
          <w:rFonts w:cs="QuranTaha"/>
          <w:sz w:val="28"/>
          <w:szCs w:val="28"/>
          <w:rtl/>
          <w:lang w:bidi="fa-IR"/>
        </w:rPr>
        <w:t>بِسْمِ اللَّهِ الرَّحْمٰنِ الرَّحِيمِ</w:t>
      </w:r>
    </w:p>
    <w:p w14:paraId="2EF05716" w14:textId="77777777" w:rsidR="001A1984" w:rsidRPr="001A1984" w:rsidRDefault="001A1984" w:rsidP="001A1984">
      <w:pPr>
        <w:jc w:val="center"/>
        <w:rPr>
          <w:rFonts w:cs="QuranTaha"/>
          <w:sz w:val="28"/>
          <w:szCs w:val="28"/>
          <w:lang w:bidi="fa-IR"/>
        </w:rPr>
      </w:pPr>
      <w:r w:rsidRPr="001A1984">
        <w:rPr>
          <w:rFonts w:cs="QuranTaha"/>
          <w:sz w:val="28"/>
          <w:szCs w:val="28"/>
          <w:rtl/>
          <w:lang w:bidi="fa-IR"/>
        </w:rPr>
        <w:t>تقر</w:t>
      </w:r>
      <w:r w:rsidRPr="001A1984">
        <w:rPr>
          <w:rFonts w:cs="QuranTaha" w:hint="cs"/>
          <w:sz w:val="28"/>
          <w:szCs w:val="28"/>
          <w:rtl/>
          <w:lang w:bidi="fa-IR"/>
        </w:rPr>
        <w:t>ی</w:t>
      </w:r>
      <w:r w:rsidRPr="001A1984">
        <w:rPr>
          <w:rFonts w:cs="QuranTaha" w:hint="eastAsia"/>
          <w:sz w:val="28"/>
          <w:szCs w:val="28"/>
          <w:rtl/>
          <w:lang w:bidi="fa-IR"/>
        </w:rPr>
        <w:t>ر</w:t>
      </w:r>
      <w:r w:rsidRPr="001A1984">
        <w:rPr>
          <w:rFonts w:cs="QuranTaha"/>
          <w:sz w:val="28"/>
          <w:szCs w:val="28"/>
          <w:rtl/>
          <w:lang w:bidi="fa-IR"/>
        </w:rPr>
        <w:t xml:space="preserve"> بحث اصول</w:t>
      </w:r>
    </w:p>
    <w:p w14:paraId="5549B404" w14:textId="77777777" w:rsidR="001A1984" w:rsidRPr="001A1984" w:rsidRDefault="001A1984" w:rsidP="001A1984">
      <w:pPr>
        <w:jc w:val="center"/>
        <w:rPr>
          <w:rFonts w:cs="QuranTaha"/>
          <w:sz w:val="28"/>
          <w:szCs w:val="28"/>
          <w:lang w:bidi="fa-IR"/>
        </w:rPr>
      </w:pPr>
      <w:r w:rsidRPr="001A1984">
        <w:rPr>
          <w:rFonts w:cs="QuranTaha" w:hint="eastAsia"/>
          <w:sz w:val="28"/>
          <w:szCs w:val="28"/>
          <w:rtl/>
          <w:lang w:bidi="fa-IR"/>
        </w:rPr>
        <w:t>جلسه</w:t>
      </w:r>
      <w:r w:rsidRPr="001A1984">
        <w:rPr>
          <w:rFonts w:cs="QuranTaha"/>
          <w:sz w:val="28"/>
          <w:szCs w:val="28"/>
          <w:rtl/>
          <w:lang w:bidi="fa-IR"/>
        </w:rPr>
        <w:t xml:space="preserve"> 913</w:t>
      </w:r>
    </w:p>
    <w:p w14:paraId="078BF32B" w14:textId="77777777" w:rsidR="001A1984" w:rsidRPr="001A1984" w:rsidRDefault="001A1984" w:rsidP="001A1984">
      <w:pPr>
        <w:jc w:val="center"/>
        <w:rPr>
          <w:rFonts w:cs="QuranTaha"/>
          <w:sz w:val="28"/>
          <w:szCs w:val="28"/>
          <w:lang w:bidi="fa-IR"/>
        </w:rPr>
      </w:pPr>
    </w:p>
    <w:p w14:paraId="1EFC79D0" w14:textId="77777777" w:rsidR="001A1984" w:rsidRPr="001A1984" w:rsidRDefault="001A1984" w:rsidP="001A1984">
      <w:pPr>
        <w:jc w:val="center"/>
        <w:rPr>
          <w:rFonts w:cs="QuranTaha"/>
          <w:sz w:val="28"/>
          <w:szCs w:val="28"/>
          <w:lang w:bidi="fa-IR"/>
        </w:rPr>
      </w:pPr>
      <w:r w:rsidRPr="001A1984">
        <w:rPr>
          <w:rFonts w:cs="QuranTaha" w:hint="eastAsia"/>
          <w:sz w:val="28"/>
          <w:szCs w:val="28"/>
          <w:rtl/>
          <w:lang w:bidi="fa-IR"/>
        </w:rPr>
        <w:t>مرحوم</w:t>
      </w:r>
      <w:r w:rsidRPr="001A1984">
        <w:rPr>
          <w:rFonts w:cs="QuranTaha"/>
          <w:sz w:val="28"/>
          <w:szCs w:val="28"/>
          <w:rtl/>
          <w:lang w:bidi="fa-IR"/>
        </w:rPr>
        <w:t xml:space="preserve"> شيخ در پاسخ به مدعا</w:t>
      </w:r>
      <w:r w:rsidRPr="001A1984">
        <w:rPr>
          <w:rFonts w:cs="QuranTaha" w:hint="cs"/>
          <w:sz w:val="28"/>
          <w:szCs w:val="28"/>
          <w:rtl/>
          <w:lang w:bidi="fa-IR"/>
        </w:rPr>
        <w:t>ی</w:t>
      </w:r>
      <w:r w:rsidRPr="001A1984">
        <w:rPr>
          <w:rFonts w:cs="QuranTaha"/>
          <w:sz w:val="28"/>
          <w:szCs w:val="28"/>
          <w:rtl/>
          <w:lang w:bidi="fa-IR"/>
        </w:rPr>
        <w:t xml:space="preserve"> علامه در خصوص تفصيل بين وصف</w:t>
      </w:r>
      <w:r w:rsidRPr="001A1984">
        <w:rPr>
          <w:rFonts w:cs="QuranTaha" w:hint="cs"/>
          <w:sz w:val="28"/>
          <w:szCs w:val="28"/>
          <w:rtl/>
          <w:lang w:bidi="fa-IR"/>
        </w:rPr>
        <w:t>ی</w:t>
      </w:r>
      <w:r w:rsidRPr="001A1984">
        <w:rPr>
          <w:rFonts w:cs="QuranTaha"/>
          <w:sz w:val="28"/>
          <w:szCs w:val="28"/>
          <w:rtl/>
          <w:lang w:bidi="fa-IR"/>
        </w:rPr>
        <w:t xml:space="preserve"> که دارا</w:t>
      </w:r>
      <w:r w:rsidRPr="001A1984">
        <w:rPr>
          <w:rFonts w:cs="QuranTaha" w:hint="cs"/>
          <w:sz w:val="28"/>
          <w:szCs w:val="28"/>
          <w:rtl/>
          <w:lang w:bidi="fa-IR"/>
        </w:rPr>
        <w:t>ی</w:t>
      </w:r>
      <w:r w:rsidRPr="001A1984">
        <w:rPr>
          <w:rFonts w:cs="QuranTaha"/>
          <w:sz w:val="28"/>
          <w:szCs w:val="28"/>
          <w:rtl/>
          <w:lang w:bidi="fa-IR"/>
        </w:rPr>
        <w:t xml:space="preserve"> عليّت باشد با غير آن، م</w:t>
      </w:r>
      <w:r w:rsidRPr="001A1984">
        <w:rPr>
          <w:rFonts w:cs="QuranTaha" w:hint="cs"/>
          <w:sz w:val="28"/>
          <w:szCs w:val="28"/>
          <w:rtl/>
          <w:lang w:bidi="fa-IR"/>
        </w:rPr>
        <w:t>ی</w:t>
      </w:r>
      <w:r w:rsidRPr="001A1984">
        <w:rPr>
          <w:rFonts w:ascii="Calibri" w:hAnsi="Calibri" w:cs="Calibri" w:hint="cs"/>
          <w:sz w:val="28"/>
          <w:szCs w:val="28"/>
          <w:rtl/>
          <w:lang w:bidi="fa-IR"/>
        </w:rPr>
        <w:t>¬</w:t>
      </w:r>
      <w:r w:rsidRPr="001A1984">
        <w:rPr>
          <w:rFonts w:cs="QuranTaha" w:hint="cs"/>
          <w:sz w:val="28"/>
          <w:szCs w:val="28"/>
          <w:rtl/>
          <w:lang w:bidi="fa-IR"/>
        </w:rPr>
        <w:t>فرمای</w:t>
      </w:r>
      <w:r w:rsidRPr="001A1984">
        <w:rPr>
          <w:rFonts w:cs="QuranTaha" w:hint="eastAsia"/>
          <w:sz w:val="28"/>
          <w:szCs w:val="28"/>
          <w:rtl/>
          <w:lang w:bidi="fa-IR"/>
        </w:rPr>
        <w:t>د</w:t>
      </w:r>
      <w:r w:rsidRPr="001A1984">
        <w:rPr>
          <w:rFonts w:cs="QuranTaha"/>
          <w:sz w:val="28"/>
          <w:szCs w:val="28"/>
          <w:rtl/>
          <w:lang w:bidi="fa-IR"/>
        </w:rPr>
        <w:t>: «إنّ مجرّد العلّيّة إنّما يقضي بعدم التخلّف في موارد الوجود كما في منصوص العلّة، وأين ذلك من الانتفاء عند الانتفاء المطلوب في المقام؟</w:t>
      </w:r>
    </w:p>
    <w:p w14:paraId="56D9D516" w14:textId="46229B9D" w:rsidR="001A1984" w:rsidRPr="001A1984" w:rsidRDefault="001A1984" w:rsidP="001A1984">
      <w:pPr>
        <w:jc w:val="center"/>
        <w:rPr>
          <w:rFonts w:cs="QuranTaha"/>
          <w:sz w:val="28"/>
          <w:szCs w:val="28"/>
          <w:lang w:bidi="fa-IR"/>
        </w:rPr>
      </w:pPr>
      <w:r w:rsidRPr="001A1984">
        <w:rPr>
          <w:rFonts w:cs="QuranTaha" w:hint="eastAsia"/>
          <w:sz w:val="28"/>
          <w:szCs w:val="28"/>
          <w:rtl/>
          <w:lang w:bidi="fa-IR"/>
        </w:rPr>
        <w:t>اللهمّ</w:t>
      </w:r>
      <w:r w:rsidRPr="001A1984">
        <w:rPr>
          <w:rFonts w:cs="QuranTaha"/>
          <w:sz w:val="28"/>
          <w:szCs w:val="28"/>
          <w:rtl/>
          <w:lang w:bidi="fa-IR"/>
        </w:rPr>
        <w:t xml:space="preserve"> إلا أن يقال بأنّه يلزم ذلك فيما لو علم انحصار العلّة؛ وهو كذلك إلا أنّه خروج عن محلّ النزاع، فإنّ الكلام مع قطع النظر عن القرائن المفيدة للمفهوم مثل الأوصاف الواقعة في الحدود والتعاريف، حيث إنّها يقصد بها الإصلاح طرداً وعكساً الملازم لإرادة المفهوم </w:t>
      </w:r>
      <w:r w:rsidRPr="001A1984">
        <w:rPr>
          <w:rFonts w:cs="QuranTaha" w:hint="eastAsia"/>
          <w:sz w:val="28"/>
          <w:szCs w:val="28"/>
          <w:rtl/>
          <w:lang w:bidi="fa-IR"/>
        </w:rPr>
        <w:t>كما</w:t>
      </w:r>
      <w:r w:rsidRPr="001A1984">
        <w:rPr>
          <w:rFonts w:cs="QuranTaha"/>
          <w:sz w:val="28"/>
          <w:szCs w:val="28"/>
          <w:rtl/>
          <w:lang w:bidi="fa-IR"/>
        </w:rPr>
        <w:t xml:space="preserve"> لا يخفى</w:t>
      </w:r>
      <w:r w:rsidRPr="001A1984">
        <w:rPr>
          <w:rFonts w:cs="QuranTaha"/>
          <w:sz w:val="28"/>
          <w:szCs w:val="28"/>
          <w:lang w:bidi="fa-IR"/>
        </w:rPr>
        <w:t>.»</w:t>
      </w:r>
    </w:p>
    <w:p w14:paraId="7DD0937E" w14:textId="77777777" w:rsidR="001A1984" w:rsidRPr="001A1984" w:rsidRDefault="001A1984" w:rsidP="001A1984">
      <w:pPr>
        <w:jc w:val="center"/>
        <w:rPr>
          <w:rFonts w:cs="QuranTaha"/>
          <w:sz w:val="28"/>
          <w:szCs w:val="28"/>
          <w:lang w:bidi="fa-IR"/>
        </w:rPr>
      </w:pPr>
      <w:r w:rsidRPr="001A1984">
        <w:rPr>
          <w:rFonts w:cs="QuranTaha" w:hint="eastAsia"/>
          <w:sz w:val="28"/>
          <w:szCs w:val="28"/>
          <w:rtl/>
          <w:lang w:bidi="fa-IR"/>
        </w:rPr>
        <w:t>حق</w:t>
      </w:r>
      <w:r w:rsidRPr="001A1984">
        <w:rPr>
          <w:rFonts w:cs="QuranTaha"/>
          <w:sz w:val="28"/>
          <w:szCs w:val="28"/>
          <w:rtl/>
          <w:lang w:bidi="fa-IR"/>
        </w:rPr>
        <w:t xml:space="preserve"> نيز در اين پاسخ با مرحوم شيخ است و بازگشت مدعا</w:t>
      </w:r>
      <w:r w:rsidRPr="001A1984">
        <w:rPr>
          <w:rFonts w:cs="QuranTaha" w:hint="cs"/>
          <w:sz w:val="28"/>
          <w:szCs w:val="28"/>
          <w:rtl/>
          <w:lang w:bidi="fa-IR"/>
        </w:rPr>
        <w:t>ی</w:t>
      </w:r>
      <w:r w:rsidRPr="001A1984">
        <w:rPr>
          <w:rFonts w:cs="QuranTaha"/>
          <w:sz w:val="28"/>
          <w:szCs w:val="28"/>
          <w:rtl/>
          <w:lang w:bidi="fa-IR"/>
        </w:rPr>
        <w:t xml:space="preserve"> مرحوم علامه در واقع به همان استدلال دوم قائل</w:t>
      </w:r>
      <w:r w:rsidRPr="001A1984">
        <w:rPr>
          <w:rFonts w:cs="QuranTaha" w:hint="cs"/>
          <w:sz w:val="28"/>
          <w:szCs w:val="28"/>
          <w:rtl/>
          <w:lang w:bidi="fa-IR"/>
        </w:rPr>
        <w:t>ی</w:t>
      </w:r>
      <w:r w:rsidRPr="001A1984">
        <w:rPr>
          <w:rFonts w:cs="QuranTaha" w:hint="eastAsia"/>
          <w:sz w:val="28"/>
          <w:szCs w:val="28"/>
          <w:rtl/>
          <w:lang w:bidi="fa-IR"/>
        </w:rPr>
        <w:t>ن</w:t>
      </w:r>
      <w:r w:rsidRPr="001A1984">
        <w:rPr>
          <w:rFonts w:cs="QuranTaha"/>
          <w:sz w:val="28"/>
          <w:szCs w:val="28"/>
          <w:rtl/>
          <w:lang w:bidi="fa-IR"/>
        </w:rPr>
        <w:t xml:space="preserve"> به افاده مفهوم توسط وصف است و مدعا</w:t>
      </w:r>
      <w:r w:rsidRPr="001A1984">
        <w:rPr>
          <w:rFonts w:cs="QuranTaha" w:hint="cs"/>
          <w:sz w:val="28"/>
          <w:szCs w:val="28"/>
          <w:rtl/>
          <w:lang w:bidi="fa-IR"/>
        </w:rPr>
        <w:t>ی</w:t>
      </w:r>
      <w:r w:rsidRPr="001A1984">
        <w:rPr>
          <w:rFonts w:cs="QuranTaha"/>
          <w:sz w:val="28"/>
          <w:szCs w:val="28"/>
          <w:rtl/>
          <w:lang w:bidi="fa-IR"/>
        </w:rPr>
        <w:t xml:space="preserve"> جديد</w:t>
      </w:r>
      <w:r w:rsidRPr="001A1984">
        <w:rPr>
          <w:rFonts w:cs="QuranTaha" w:hint="cs"/>
          <w:sz w:val="28"/>
          <w:szCs w:val="28"/>
          <w:rtl/>
          <w:lang w:bidi="fa-IR"/>
        </w:rPr>
        <w:t>ی</w:t>
      </w:r>
      <w:r w:rsidRPr="001A1984">
        <w:rPr>
          <w:rFonts w:cs="QuranTaha"/>
          <w:sz w:val="28"/>
          <w:szCs w:val="28"/>
          <w:rtl/>
          <w:lang w:bidi="fa-IR"/>
        </w:rPr>
        <w:t xml:space="preserve"> نيست</w:t>
      </w:r>
      <w:r w:rsidRPr="001A1984">
        <w:rPr>
          <w:rFonts w:cs="QuranTaha"/>
          <w:sz w:val="28"/>
          <w:szCs w:val="28"/>
          <w:lang w:bidi="fa-IR"/>
        </w:rPr>
        <w:t>.</w:t>
      </w:r>
    </w:p>
    <w:p w14:paraId="45B73532" w14:textId="77777777" w:rsidR="001A1984" w:rsidRPr="001A1984" w:rsidRDefault="001A1984" w:rsidP="001A1984">
      <w:pPr>
        <w:jc w:val="center"/>
        <w:rPr>
          <w:rFonts w:cs="QuranTaha"/>
          <w:sz w:val="28"/>
          <w:szCs w:val="28"/>
          <w:lang w:bidi="fa-IR"/>
        </w:rPr>
      </w:pPr>
      <w:r w:rsidRPr="001A1984">
        <w:rPr>
          <w:rFonts w:cs="QuranTaha" w:hint="eastAsia"/>
          <w:sz w:val="28"/>
          <w:szCs w:val="28"/>
          <w:rtl/>
          <w:lang w:bidi="fa-IR"/>
        </w:rPr>
        <w:t>اما</w:t>
      </w:r>
      <w:r w:rsidRPr="001A1984">
        <w:rPr>
          <w:rFonts w:cs="QuranTaha"/>
          <w:sz w:val="28"/>
          <w:szCs w:val="28"/>
          <w:rtl/>
          <w:lang w:bidi="fa-IR"/>
        </w:rPr>
        <w:t xml:space="preserve"> آنچه که مرحوم شيخ ادعا کرده است مبن</w:t>
      </w:r>
      <w:r w:rsidRPr="001A1984">
        <w:rPr>
          <w:rFonts w:cs="QuranTaha" w:hint="cs"/>
          <w:sz w:val="28"/>
          <w:szCs w:val="28"/>
          <w:rtl/>
          <w:lang w:bidi="fa-IR"/>
        </w:rPr>
        <w:t>ی</w:t>
      </w:r>
      <w:r w:rsidRPr="001A1984">
        <w:rPr>
          <w:rFonts w:cs="QuranTaha"/>
          <w:sz w:val="28"/>
          <w:szCs w:val="28"/>
          <w:rtl/>
          <w:lang w:bidi="fa-IR"/>
        </w:rPr>
        <w:t xml:space="preserve"> بر ا</w:t>
      </w:r>
      <w:r w:rsidRPr="001A1984">
        <w:rPr>
          <w:rFonts w:cs="QuranTaha" w:hint="cs"/>
          <w:sz w:val="28"/>
          <w:szCs w:val="28"/>
          <w:rtl/>
          <w:lang w:bidi="fa-IR"/>
        </w:rPr>
        <w:t>ی</w:t>
      </w:r>
      <w:r w:rsidRPr="001A1984">
        <w:rPr>
          <w:rFonts w:cs="QuranTaha" w:hint="eastAsia"/>
          <w:sz w:val="28"/>
          <w:szCs w:val="28"/>
          <w:rtl/>
          <w:lang w:bidi="fa-IR"/>
        </w:rPr>
        <w:t>ن</w:t>
      </w:r>
      <w:r w:rsidRPr="001A1984">
        <w:rPr>
          <w:rFonts w:cs="QuranTaha"/>
          <w:sz w:val="28"/>
          <w:szCs w:val="28"/>
          <w:rtl/>
          <w:lang w:bidi="fa-IR"/>
        </w:rPr>
        <w:t xml:space="preserve"> که در موارد</w:t>
      </w:r>
      <w:r w:rsidRPr="001A1984">
        <w:rPr>
          <w:rFonts w:cs="QuranTaha" w:hint="cs"/>
          <w:sz w:val="28"/>
          <w:szCs w:val="28"/>
          <w:rtl/>
          <w:lang w:bidi="fa-IR"/>
        </w:rPr>
        <w:t>ی</w:t>
      </w:r>
      <w:r w:rsidRPr="001A1984">
        <w:rPr>
          <w:rFonts w:cs="QuranTaha"/>
          <w:sz w:val="28"/>
          <w:szCs w:val="28"/>
          <w:rtl/>
          <w:lang w:bidi="fa-IR"/>
        </w:rPr>
        <w:t xml:space="preserve"> که علت منصوص باشد، امکان اين ادعا که با انتفاء علت حکم نيز منتف</w:t>
      </w:r>
      <w:r w:rsidRPr="001A1984">
        <w:rPr>
          <w:rFonts w:cs="QuranTaha" w:hint="cs"/>
          <w:sz w:val="28"/>
          <w:szCs w:val="28"/>
          <w:rtl/>
          <w:lang w:bidi="fa-IR"/>
        </w:rPr>
        <w:t>ی</w:t>
      </w:r>
      <w:r w:rsidRPr="001A1984">
        <w:rPr>
          <w:rFonts w:cs="QuranTaha"/>
          <w:sz w:val="28"/>
          <w:szCs w:val="28"/>
          <w:rtl/>
          <w:lang w:bidi="fa-IR"/>
        </w:rPr>
        <w:t xml:space="preserve"> م</w:t>
      </w:r>
      <w:r w:rsidRPr="001A1984">
        <w:rPr>
          <w:rFonts w:cs="QuranTaha" w:hint="cs"/>
          <w:sz w:val="28"/>
          <w:szCs w:val="28"/>
          <w:rtl/>
          <w:lang w:bidi="fa-IR"/>
        </w:rPr>
        <w:t>ی</w:t>
      </w:r>
      <w:r w:rsidRPr="001A1984">
        <w:rPr>
          <w:rFonts w:ascii="Calibri" w:hAnsi="Calibri" w:cs="Calibri" w:hint="cs"/>
          <w:sz w:val="28"/>
          <w:szCs w:val="28"/>
          <w:rtl/>
          <w:lang w:bidi="fa-IR"/>
        </w:rPr>
        <w:t>¬</w:t>
      </w:r>
      <w:r w:rsidRPr="001A1984">
        <w:rPr>
          <w:rFonts w:cs="QuranTaha" w:hint="cs"/>
          <w:sz w:val="28"/>
          <w:szCs w:val="28"/>
          <w:rtl/>
          <w:lang w:bidi="fa-IR"/>
        </w:rPr>
        <w:t>شود،</w:t>
      </w:r>
      <w:r w:rsidRPr="001A1984">
        <w:rPr>
          <w:rFonts w:cs="QuranTaha"/>
          <w:sz w:val="28"/>
          <w:szCs w:val="28"/>
          <w:rtl/>
          <w:lang w:bidi="fa-IR"/>
        </w:rPr>
        <w:t xml:space="preserve"> وجود دارد، وجه آن اين است که در موارد</w:t>
      </w:r>
      <w:r w:rsidRPr="001A1984">
        <w:rPr>
          <w:rFonts w:cs="QuranTaha" w:hint="cs"/>
          <w:sz w:val="28"/>
          <w:szCs w:val="28"/>
          <w:rtl/>
          <w:lang w:bidi="fa-IR"/>
        </w:rPr>
        <w:t>ی</w:t>
      </w:r>
      <w:r w:rsidRPr="001A1984">
        <w:rPr>
          <w:rFonts w:cs="QuranTaha"/>
          <w:sz w:val="28"/>
          <w:szCs w:val="28"/>
          <w:rtl/>
          <w:lang w:bidi="fa-IR"/>
        </w:rPr>
        <w:t xml:space="preserve"> مثل: «لا تشرب الخمر لأنّه مسکر»، ظاهر از دليل اين است که آنچه که به عنوان علّت </w:t>
      </w:r>
      <w:r w:rsidRPr="001A1984">
        <w:rPr>
          <w:rFonts w:cs="QuranTaha"/>
          <w:sz w:val="28"/>
          <w:szCs w:val="28"/>
          <w:rtl/>
          <w:lang w:bidi="fa-IR"/>
        </w:rPr>
        <w:lastRenderedPageBreak/>
        <w:t xml:space="preserve">حکم </w:t>
      </w:r>
      <w:r w:rsidRPr="001A1984">
        <w:rPr>
          <w:rFonts w:cs="QuranTaha" w:hint="eastAsia"/>
          <w:sz w:val="28"/>
          <w:szCs w:val="28"/>
          <w:rtl/>
          <w:lang w:bidi="fa-IR"/>
        </w:rPr>
        <w:t>بيان</w:t>
      </w:r>
      <w:r w:rsidRPr="001A1984">
        <w:rPr>
          <w:rFonts w:cs="QuranTaha"/>
          <w:sz w:val="28"/>
          <w:szCs w:val="28"/>
          <w:rtl/>
          <w:lang w:bidi="fa-IR"/>
        </w:rPr>
        <w:t xml:space="preserve"> شده است، علّت تامه است که در نتيجه با انتفاء آن حکم منتف</w:t>
      </w:r>
      <w:r w:rsidRPr="001A1984">
        <w:rPr>
          <w:rFonts w:cs="QuranTaha" w:hint="cs"/>
          <w:sz w:val="28"/>
          <w:szCs w:val="28"/>
          <w:rtl/>
          <w:lang w:bidi="fa-IR"/>
        </w:rPr>
        <w:t>ی</w:t>
      </w:r>
      <w:r w:rsidRPr="001A1984">
        <w:rPr>
          <w:rFonts w:cs="QuranTaha"/>
          <w:sz w:val="28"/>
          <w:szCs w:val="28"/>
          <w:rtl/>
          <w:lang w:bidi="fa-IR"/>
        </w:rPr>
        <w:t xml:space="preserve"> شده و با سريان آن در موارد ديگر نيز، حکم جار</w:t>
      </w:r>
      <w:r w:rsidRPr="001A1984">
        <w:rPr>
          <w:rFonts w:cs="QuranTaha" w:hint="cs"/>
          <w:sz w:val="28"/>
          <w:szCs w:val="28"/>
          <w:rtl/>
          <w:lang w:bidi="fa-IR"/>
        </w:rPr>
        <w:t>ی</w:t>
      </w:r>
      <w:r w:rsidRPr="001A1984">
        <w:rPr>
          <w:rFonts w:cs="QuranTaha"/>
          <w:sz w:val="28"/>
          <w:szCs w:val="28"/>
          <w:rtl/>
          <w:lang w:bidi="fa-IR"/>
        </w:rPr>
        <w:t xml:space="preserve"> م</w:t>
      </w:r>
      <w:r w:rsidRPr="001A1984">
        <w:rPr>
          <w:rFonts w:cs="QuranTaha" w:hint="cs"/>
          <w:sz w:val="28"/>
          <w:szCs w:val="28"/>
          <w:rtl/>
          <w:lang w:bidi="fa-IR"/>
        </w:rPr>
        <w:t>ی</w:t>
      </w:r>
      <w:r w:rsidRPr="001A1984">
        <w:rPr>
          <w:rFonts w:ascii="Calibri" w:hAnsi="Calibri" w:cs="Calibri" w:hint="cs"/>
          <w:sz w:val="28"/>
          <w:szCs w:val="28"/>
          <w:rtl/>
          <w:lang w:bidi="fa-IR"/>
        </w:rPr>
        <w:t>¬</w:t>
      </w:r>
      <w:r w:rsidRPr="001A1984">
        <w:rPr>
          <w:rFonts w:cs="QuranTaha" w:hint="cs"/>
          <w:sz w:val="28"/>
          <w:szCs w:val="28"/>
          <w:rtl/>
          <w:lang w:bidi="fa-IR"/>
        </w:rPr>
        <w:t>گردد</w:t>
      </w:r>
      <w:r w:rsidRPr="001A1984">
        <w:rPr>
          <w:rFonts w:cs="QuranTaha"/>
          <w:sz w:val="28"/>
          <w:szCs w:val="28"/>
          <w:lang w:bidi="fa-IR"/>
        </w:rPr>
        <w:t>.</w:t>
      </w:r>
    </w:p>
    <w:p w14:paraId="208092B6" w14:textId="77777777" w:rsidR="001A1984" w:rsidRPr="001A1984" w:rsidRDefault="001A1984" w:rsidP="001A1984">
      <w:pPr>
        <w:jc w:val="center"/>
        <w:rPr>
          <w:rFonts w:cs="QuranTaha"/>
          <w:sz w:val="28"/>
          <w:szCs w:val="28"/>
          <w:lang w:bidi="fa-IR"/>
        </w:rPr>
      </w:pPr>
      <w:r w:rsidRPr="001A1984">
        <w:rPr>
          <w:rFonts w:cs="QuranTaha" w:hint="eastAsia"/>
          <w:sz w:val="28"/>
          <w:szCs w:val="28"/>
          <w:rtl/>
          <w:lang w:bidi="fa-IR"/>
        </w:rPr>
        <w:t>در</w:t>
      </w:r>
      <w:r w:rsidRPr="001A1984">
        <w:rPr>
          <w:rFonts w:cs="QuranTaha"/>
          <w:sz w:val="28"/>
          <w:szCs w:val="28"/>
          <w:rtl/>
          <w:lang w:bidi="fa-IR"/>
        </w:rPr>
        <w:t xml:space="preserve"> حال</w:t>
      </w:r>
      <w:r w:rsidRPr="001A1984">
        <w:rPr>
          <w:rFonts w:cs="QuranTaha" w:hint="cs"/>
          <w:sz w:val="28"/>
          <w:szCs w:val="28"/>
          <w:rtl/>
          <w:lang w:bidi="fa-IR"/>
        </w:rPr>
        <w:t>ی</w:t>
      </w:r>
      <w:r w:rsidRPr="001A1984">
        <w:rPr>
          <w:rFonts w:cs="QuranTaha"/>
          <w:sz w:val="28"/>
          <w:szCs w:val="28"/>
          <w:rtl/>
          <w:lang w:bidi="fa-IR"/>
        </w:rPr>
        <w:t xml:space="preserve"> که در غير علل منصوصه، چنين حالت</w:t>
      </w:r>
      <w:r w:rsidRPr="001A1984">
        <w:rPr>
          <w:rFonts w:cs="QuranTaha" w:hint="cs"/>
          <w:sz w:val="28"/>
          <w:szCs w:val="28"/>
          <w:rtl/>
          <w:lang w:bidi="fa-IR"/>
        </w:rPr>
        <w:t>ی</w:t>
      </w:r>
      <w:r w:rsidRPr="001A1984">
        <w:rPr>
          <w:rFonts w:cs="QuranTaha"/>
          <w:sz w:val="28"/>
          <w:szCs w:val="28"/>
          <w:rtl/>
          <w:lang w:bidi="fa-IR"/>
        </w:rPr>
        <w:t xml:space="preserve"> وجود ندارد و عليّت م</w:t>
      </w:r>
      <w:r w:rsidRPr="001A1984">
        <w:rPr>
          <w:rFonts w:cs="QuranTaha" w:hint="cs"/>
          <w:sz w:val="28"/>
          <w:szCs w:val="28"/>
          <w:rtl/>
          <w:lang w:bidi="fa-IR"/>
        </w:rPr>
        <w:t>ی</w:t>
      </w:r>
      <w:r w:rsidRPr="001A1984">
        <w:rPr>
          <w:rFonts w:ascii="Calibri" w:hAnsi="Calibri" w:cs="Calibri" w:hint="cs"/>
          <w:sz w:val="28"/>
          <w:szCs w:val="28"/>
          <w:rtl/>
          <w:lang w:bidi="fa-IR"/>
        </w:rPr>
        <w:t>¬</w:t>
      </w:r>
      <w:r w:rsidRPr="001A1984">
        <w:rPr>
          <w:rFonts w:cs="QuranTaha" w:hint="cs"/>
          <w:sz w:val="28"/>
          <w:szCs w:val="28"/>
          <w:rtl/>
          <w:lang w:bidi="fa-IR"/>
        </w:rPr>
        <w:t>تواند</w:t>
      </w:r>
      <w:r w:rsidRPr="001A1984">
        <w:rPr>
          <w:rFonts w:cs="QuranTaha"/>
          <w:sz w:val="28"/>
          <w:szCs w:val="28"/>
          <w:rtl/>
          <w:lang w:bidi="fa-IR"/>
        </w:rPr>
        <w:t xml:space="preserve"> به نحو ناقصه باشد که در اين صورت برا</w:t>
      </w:r>
      <w:r w:rsidRPr="001A1984">
        <w:rPr>
          <w:rFonts w:cs="QuranTaha" w:hint="cs"/>
          <w:sz w:val="28"/>
          <w:szCs w:val="28"/>
          <w:rtl/>
          <w:lang w:bidi="fa-IR"/>
        </w:rPr>
        <w:t>ی</w:t>
      </w:r>
      <w:r w:rsidRPr="001A1984">
        <w:rPr>
          <w:rFonts w:cs="QuranTaha"/>
          <w:sz w:val="28"/>
          <w:szCs w:val="28"/>
          <w:rtl/>
          <w:lang w:bidi="fa-IR"/>
        </w:rPr>
        <w:t xml:space="preserve"> اين که دليل دلالت بر انتفاء حکم به واسطه انتفاء علّت مذکور کند، لازم است که ثابت شود که عليّت آن علّت به نحو منحصره است و جايگزين</w:t>
      </w:r>
      <w:r w:rsidRPr="001A1984">
        <w:rPr>
          <w:rFonts w:cs="QuranTaha" w:hint="cs"/>
          <w:sz w:val="28"/>
          <w:szCs w:val="28"/>
          <w:rtl/>
          <w:lang w:bidi="fa-IR"/>
        </w:rPr>
        <w:t>ی</w:t>
      </w:r>
      <w:r w:rsidRPr="001A1984">
        <w:rPr>
          <w:rFonts w:cs="QuranTaha"/>
          <w:sz w:val="28"/>
          <w:szCs w:val="28"/>
          <w:rtl/>
          <w:lang w:bidi="fa-IR"/>
        </w:rPr>
        <w:t xml:space="preserve"> برا</w:t>
      </w:r>
      <w:r w:rsidRPr="001A1984">
        <w:rPr>
          <w:rFonts w:cs="QuranTaha" w:hint="cs"/>
          <w:sz w:val="28"/>
          <w:szCs w:val="28"/>
          <w:rtl/>
          <w:lang w:bidi="fa-IR"/>
        </w:rPr>
        <w:t>ی</w:t>
      </w:r>
      <w:r w:rsidRPr="001A1984">
        <w:rPr>
          <w:rFonts w:cs="QuranTaha"/>
          <w:sz w:val="28"/>
          <w:szCs w:val="28"/>
          <w:rtl/>
          <w:lang w:bidi="fa-IR"/>
        </w:rPr>
        <w:t xml:space="preserve"> آن وجود ندارد</w:t>
      </w:r>
      <w:r w:rsidRPr="001A1984">
        <w:rPr>
          <w:rFonts w:cs="QuranTaha"/>
          <w:sz w:val="28"/>
          <w:szCs w:val="28"/>
          <w:lang w:bidi="fa-IR"/>
        </w:rPr>
        <w:t>.</w:t>
      </w:r>
    </w:p>
    <w:p w14:paraId="7F8917E5" w14:textId="77777777" w:rsidR="001A1984" w:rsidRPr="001A1984" w:rsidRDefault="001A1984" w:rsidP="001A1984">
      <w:pPr>
        <w:jc w:val="center"/>
        <w:rPr>
          <w:rFonts w:cs="QuranTaha"/>
          <w:sz w:val="28"/>
          <w:szCs w:val="28"/>
          <w:lang w:bidi="fa-IR"/>
        </w:rPr>
      </w:pPr>
      <w:r w:rsidRPr="001A1984">
        <w:rPr>
          <w:rFonts w:cs="QuranTaha" w:hint="eastAsia"/>
          <w:sz w:val="28"/>
          <w:szCs w:val="28"/>
          <w:rtl/>
          <w:lang w:bidi="fa-IR"/>
        </w:rPr>
        <w:t>تفصيل</w:t>
      </w:r>
      <w:r w:rsidRPr="001A1984">
        <w:rPr>
          <w:rFonts w:cs="QuranTaha"/>
          <w:sz w:val="28"/>
          <w:szCs w:val="28"/>
          <w:rtl/>
          <w:lang w:bidi="fa-IR"/>
        </w:rPr>
        <w:t xml:space="preserve"> دوم: ظاهر کلام فخر راز</w:t>
      </w:r>
      <w:r w:rsidRPr="001A1984">
        <w:rPr>
          <w:rFonts w:cs="QuranTaha" w:hint="cs"/>
          <w:sz w:val="28"/>
          <w:szCs w:val="28"/>
          <w:rtl/>
          <w:lang w:bidi="fa-IR"/>
        </w:rPr>
        <w:t>ی</w:t>
      </w:r>
      <w:r w:rsidRPr="001A1984">
        <w:rPr>
          <w:rFonts w:cs="QuranTaha"/>
          <w:sz w:val="28"/>
          <w:szCs w:val="28"/>
          <w:rtl/>
          <w:lang w:bidi="fa-IR"/>
        </w:rPr>
        <w:t xml:space="preserve"> در تفسير خود اين است که وصف را مف</w:t>
      </w:r>
      <w:r w:rsidRPr="001A1984">
        <w:rPr>
          <w:rFonts w:cs="QuranTaha" w:hint="cs"/>
          <w:sz w:val="28"/>
          <w:szCs w:val="28"/>
          <w:rtl/>
          <w:lang w:bidi="fa-IR"/>
        </w:rPr>
        <w:t>ی</w:t>
      </w:r>
      <w:r w:rsidRPr="001A1984">
        <w:rPr>
          <w:rFonts w:cs="QuranTaha" w:hint="eastAsia"/>
          <w:sz w:val="28"/>
          <w:szCs w:val="28"/>
          <w:rtl/>
          <w:lang w:bidi="fa-IR"/>
        </w:rPr>
        <w:t>د</w:t>
      </w:r>
      <w:r w:rsidRPr="001A1984">
        <w:rPr>
          <w:rFonts w:cs="QuranTaha"/>
          <w:sz w:val="28"/>
          <w:szCs w:val="28"/>
          <w:rtl/>
          <w:lang w:bidi="fa-IR"/>
        </w:rPr>
        <w:t xml:space="preserve"> مفهوم دانسته است مگر ا</w:t>
      </w:r>
      <w:r w:rsidRPr="001A1984">
        <w:rPr>
          <w:rFonts w:cs="QuranTaha" w:hint="cs"/>
          <w:sz w:val="28"/>
          <w:szCs w:val="28"/>
          <w:rtl/>
          <w:lang w:bidi="fa-IR"/>
        </w:rPr>
        <w:t>ی</w:t>
      </w:r>
      <w:r w:rsidRPr="001A1984">
        <w:rPr>
          <w:rFonts w:cs="QuranTaha" w:hint="eastAsia"/>
          <w:sz w:val="28"/>
          <w:szCs w:val="28"/>
          <w:rtl/>
          <w:lang w:bidi="fa-IR"/>
        </w:rPr>
        <w:t>ن</w:t>
      </w:r>
      <w:r w:rsidRPr="001A1984">
        <w:rPr>
          <w:rFonts w:cs="QuranTaha"/>
          <w:sz w:val="28"/>
          <w:szCs w:val="28"/>
          <w:rtl/>
          <w:lang w:bidi="fa-IR"/>
        </w:rPr>
        <w:t xml:space="preserve"> که به عنوان ق</w:t>
      </w:r>
      <w:r w:rsidRPr="001A1984">
        <w:rPr>
          <w:rFonts w:cs="QuranTaha" w:hint="cs"/>
          <w:sz w:val="28"/>
          <w:szCs w:val="28"/>
          <w:rtl/>
          <w:lang w:bidi="fa-IR"/>
        </w:rPr>
        <w:t>ی</w:t>
      </w:r>
      <w:r w:rsidRPr="001A1984">
        <w:rPr>
          <w:rFonts w:cs="QuranTaha" w:hint="eastAsia"/>
          <w:sz w:val="28"/>
          <w:szCs w:val="28"/>
          <w:rtl/>
          <w:lang w:bidi="fa-IR"/>
        </w:rPr>
        <w:t>د</w:t>
      </w:r>
      <w:r w:rsidRPr="001A1984">
        <w:rPr>
          <w:rFonts w:cs="QuranTaha" w:hint="cs"/>
          <w:sz w:val="28"/>
          <w:szCs w:val="28"/>
          <w:rtl/>
          <w:lang w:bidi="fa-IR"/>
        </w:rPr>
        <w:t>ی</w:t>
      </w:r>
      <w:r w:rsidRPr="001A1984">
        <w:rPr>
          <w:rFonts w:cs="QuranTaha"/>
          <w:sz w:val="28"/>
          <w:szCs w:val="28"/>
          <w:rtl/>
          <w:lang w:bidi="fa-IR"/>
        </w:rPr>
        <w:t xml:space="preserve"> غالب</w:t>
      </w:r>
      <w:r w:rsidRPr="001A1984">
        <w:rPr>
          <w:rFonts w:cs="QuranTaha" w:hint="cs"/>
          <w:sz w:val="28"/>
          <w:szCs w:val="28"/>
          <w:rtl/>
          <w:lang w:bidi="fa-IR"/>
        </w:rPr>
        <w:t>ی</w:t>
      </w:r>
      <w:r w:rsidRPr="001A1984">
        <w:rPr>
          <w:rFonts w:cs="QuranTaha"/>
          <w:sz w:val="28"/>
          <w:szCs w:val="28"/>
          <w:rtl/>
          <w:lang w:bidi="fa-IR"/>
        </w:rPr>
        <w:t xml:space="preserve"> ذکر شده باشد</w:t>
      </w:r>
      <w:r w:rsidRPr="001A1984">
        <w:rPr>
          <w:rFonts w:cs="QuranTaha"/>
          <w:sz w:val="28"/>
          <w:szCs w:val="28"/>
          <w:lang w:bidi="fa-IR"/>
        </w:rPr>
        <w:t>.</w:t>
      </w:r>
    </w:p>
    <w:p w14:paraId="4966ACD8" w14:textId="77777777" w:rsidR="001A1984" w:rsidRPr="001A1984" w:rsidRDefault="001A1984" w:rsidP="001A1984">
      <w:pPr>
        <w:jc w:val="center"/>
        <w:rPr>
          <w:rFonts w:cs="QuranTaha"/>
          <w:sz w:val="28"/>
          <w:szCs w:val="28"/>
          <w:lang w:bidi="fa-IR"/>
        </w:rPr>
      </w:pPr>
      <w:r w:rsidRPr="001A1984">
        <w:rPr>
          <w:rFonts w:cs="QuranTaha" w:hint="eastAsia"/>
          <w:sz w:val="28"/>
          <w:szCs w:val="28"/>
          <w:rtl/>
          <w:lang w:bidi="fa-IR"/>
        </w:rPr>
        <w:t>و</w:t>
      </w:r>
      <w:r w:rsidRPr="001A1984">
        <w:rPr>
          <w:rFonts w:cs="QuranTaha" w:hint="cs"/>
          <w:sz w:val="28"/>
          <w:szCs w:val="28"/>
          <w:rtl/>
          <w:lang w:bidi="fa-IR"/>
        </w:rPr>
        <w:t>ی</w:t>
      </w:r>
      <w:r w:rsidRPr="001A1984">
        <w:rPr>
          <w:rFonts w:cs="QuranTaha"/>
          <w:sz w:val="28"/>
          <w:szCs w:val="28"/>
          <w:rtl/>
          <w:lang w:bidi="fa-IR"/>
        </w:rPr>
        <w:t xml:space="preserve"> در تفسير آيه شريفه: «وَرَبَائِبُكُمُ اللَّاتِ</w:t>
      </w:r>
      <w:r w:rsidRPr="001A1984">
        <w:rPr>
          <w:rFonts w:cs="QuranTaha" w:hint="cs"/>
          <w:sz w:val="28"/>
          <w:szCs w:val="28"/>
          <w:rtl/>
          <w:lang w:bidi="fa-IR"/>
        </w:rPr>
        <w:t>ی</w:t>
      </w:r>
      <w:r w:rsidRPr="001A1984">
        <w:rPr>
          <w:rFonts w:cs="QuranTaha"/>
          <w:sz w:val="28"/>
          <w:szCs w:val="28"/>
          <w:rtl/>
          <w:lang w:bidi="fa-IR"/>
        </w:rPr>
        <w:t xml:space="preserve"> فِ</w:t>
      </w:r>
      <w:r w:rsidRPr="001A1984">
        <w:rPr>
          <w:rFonts w:cs="QuranTaha" w:hint="cs"/>
          <w:sz w:val="28"/>
          <w:szCs w:val="28"/>
          <w:rtl/>
          <w:lang w:bidi="fa-IR"/>
        </w:rPr>
        <w:t>ی</w:t>
      </w:r>
      <w:r w:rsidRPr="001A1984">
        <w:rPr>
          <w:rFonts w:cs="QuranTaha"/>
          <w:sz w:val="28"/>
          <w:szCs w:val="28"/>
          <w:rtl/>
          <w:lang w:bidi="fa-IR"/>
        </w:rPr>
        <w:t xml:space="preserve"> حُجُورِكُمْ»  در خصوص وجه عدم افاده مفهوم توسط وصف در اين آيه م</w:t>
      </w:r>
      <w:r w:rsidRPr="001A1984">
        <w:rPr>
          <w:rFonts w:cs="QuranTaha" w:hint="cs"/>
          <w:sz w:val="28"/>
          <w:szCs w:val="28"/>
          <w:rtl/>
          <w:lang w:bidi="fa-IR"/>
        </w:rPr>
        <w:t>ی</w:t>
      </w:r>
      <w:r w:rsidRPr="001A1984">
        <w:rPr>
          <w:rFonts w:cs="QuranTaha" w:hint="cs"/>
          <w:sz w:val="28"/>
          <w:szCs w:val="28"/>
          <w:cs/>
          <w:lang w:bidi="fa-IR"/>
        </w:rPr>
        <w:t>‎</w:t>
      </w:r>
      <w:r w:rsidRPr="001A1984">
        <w:rPr>
          <w:rFonts w:cs="QuranTaha" w:hint="eastAsia"/>
          <w:sz w:val="28"/>
          <w:szCs w:val="28"/>
          <w:rtl/>
          <w:lang w:bidi="fa-IR"/>
        </w:rPr>
        <w:t>گويد</w:t>
      </w:r>
      <w:r w:rsidRPr="001A1984">
        <w:rPr>
          <w:rFonts w:cs="QuranTaha"/>
          <w:sz w:val="28"/>
          <w:szCs w:val="28"/>
          <w:rtl/>
          <w:lang w:bidi="fa-IR"/>
        </w:rPr>
        <w:t>: «روى مالك بن أوس بن الحدثان عن علي</w:t>
      </w:r>
      <w:r w:rsidRPr="001A1984">
        <w:rPr>
          <w:rFonts w:cs="QuranTaha"/>
          <w:sz w:val="28"/>
          <w:szCs w:val="28"/>
          <w:lang w:bidi="fa-IR"/>
        </w:rPr>
        <w:t xml:space="preserve"> </w:t>
      </w:r>
      <w:r w:rsidRPr="001A1984">
        <w:rPr>
          <w:rFonts w:cs="QuranTaha"/>
          <w:sz w:val="28"/>
          <w:szCs w:val="28"/>
          <w:rtl/>
          <w:lang w:bidi="fa-IR"/>
        </w:rPr>
        <w:t>أنّه قال: الربيبة إذا لم تكن في حجر الزوج وكانت في بلد آخر ثمّ فارق الأُمّ بعد الدخول، فإنّه يج</w:t>
      </w:r>
      <w:r w:rsidRPr="001A1984">
        <w:rPr>
          <w:rFonts w:cs="QuranTaha" w:hint="eastAsia"/>
          <w:sz w:val="28"/>
          <w:szCs w:val="28"/>
          <w:rtl/>
          <w:lang w:bidi="fa-IR"/>
        </w:rPr>
        <w:t>وز</w:t>
      </w:r>
      <w:r w:rsidRPr="001A1984">
        <w:rPr>
          <w:rFonts w:cs="QuranTaha"/>
          <w:sz w:val="28"/>
          <w:szCs w:val="28"/>
          <w:rtl/>
          <w:lang w:bidi="fa-IR"/>
        </w:rPr>
        <w:t xml:space="preserve"> له أن يتزوّج الربيبة، ونقل أنّه... احتجّ على ذلك بأنّه تعالى قال: «وَرَبَائِبُكُمُ اللَّاتِ</w:t>
      </w:r>
      <w:r w:rsidRPr="001A1984">
        <w:rPr>
          <w:rFonts w:cs="QuranTaha" w:hint="cs"/>
          <w:sz w:val="28"/>
          <w:szCs w:val="28"/>
          <w:rtl/>
          <w:lang w:bidi="fa-IR"/>
        </w:rPr>
        <w:t>ی</w:t>
      </w:r>
      <w:r w:rsidRPr="001A1984">
        <w:rPr>
          <w:rFonts w:cs="QuranTaha"/>
          <w:sz w:val="28"/>
          <w:szCs w:val="28"/>
          <w:rtl/>
          <w:lang w:bidi="fa-IR"/>
        </w:rPr>
        <w:t xml:space="preserve"> فِ</w:t>
      </w:r>
      <w:r w:rsidRPr="001A1984">
        <w:rPr>
          <w:rFonts w:cs="QuranTaha" w:hint="cs"/>
          <w:sz w:val="28"/>
          <w:szCs w:val="28"/>
          <w:rtl/>
          <w:lang w:bidi="fa-IR"/>
        </w:rPr>
        <w:t>ی</w:t>
      </w:r>
      <w:r w:rsidRPr="001A1984">
        <w:rPr>
          <w:rFonts w:cs="QuranTaha"/>
          <w:sz w:val="28"/>
          <w:szCs w:val="28"/>
          <w:rtl/>
          <w:lang w:bidi="fa-IR"/>
        </w:rPr>
        <w:t xml:space="preserve"> حُجُورِكُمْ» شرط في كونها ربيبة له كونها في حجره، فإذا لم تكن في تربيته ولا في حجره، فقد فات الشرط، فوجب أن لا تثبت الحرمة. وهذا استدلال حسن</w:t>
      </w:r>
      <w:r w:rsidRPr="001A1984">
        <w:rPr>
          <w:rFonts w:cs="QuranTaha"/>
          <w:sz w:val="28"/>
          <w:szCs w:val="28"/>
          <w:lang w:bidi="fa-IR"/>
        </w:rPr>
        <w:t>.</w:t>
      </w:r>
    </w:p>
    <w:p w14:paraId="0301AFAB" w14:textId="77777777" w:rsidR="001A1984" w:rsidRPr="001A1984" w:rsidRDefault="001A1984" w:rsidP="001A1984">
      <w:pPr>
        <w:jc w:val="center"/>
        <w:rPr>
          <w:rFonts w:cs="QuranTaha"/>
          <w:sz w:val="28"/>
          <w:szCs w:val="28"/>
          <w:lang w:bidi="fa-IR"/>
        </w:rPr>
      </w:pPr>
      <w:r w:rsidRPr="001A1984">
        <w:rPr>
          <w:rFonts w:cs="QuranTaha" w:hint="eastAsia"/>
          <w:sz w:val="28"/>
          <w:szCs w:val="28"/>
          <w:rtl/>
          <w:lang w:bidi="fa-IR"/>
        </w:rPr>
        <w:lastRenderedPageBreak/>
        <w:t>وأمّا</w:t>
      </w:r>
      <w:r w:rsidRPr="001A1984">
        <w:rPr>
          <w:rFonts w:cs="QuranTaha"/>
          <w:sz w:val="28"/>
          <w:szCs w:val="28"/>
          <w:rtl/>
          <w:lang w:bidi="fa-IR"/>
        </w:rPr>
        <w:t xml:space="preserve"> سائر العلماء فإنّهم قالوا: إذا دخل بالمرأة حرمت عليه ابنتها، سواءً كانت في تربيته أو لم تكن، والدليل عليه قوله تعالى: «فَإِنْ لَمْ تَكُونُوا دَخَلْتُمْ بِهِنَّ فَلَا جُنَاحَ عَلَيْكُمْ‏»، علّق رفع الجناح بمجرّد عدم الدخول، وهذا يقتضي أنّ المقتضي لحصو</w:t>
      </w:r>
      <w:r w:rsidRPr="001A1984">
        <w:rPr>
          <w:rFonts w:cs="QuranTaha" w:hint="eastAsia"/>
          <w:sz w:val="28"/>
          <w:szCs w:val="28"/>
          <w:rtl/>
          <w:lang w:bidi="fa-IR"/>
        </w:rPr>
        <w:t>ل</w:t>
      </w:r>
      <w:r w:rsidRPr="001A1984">
        <w:rPr>
          <w:rFonts w:cs="QuranTaha"/>
          <w:sz w:val="28"/>
          <w:szCs w:val="28"/>
          <w:rtl/>
          <w:lang w:bidi="fa-IR"/>
        </w:rPr>
        <w:t xml:space="preserve"> الجناح هو مجرّد الدخول</w:t>
      </w:r>
      <w:r w:rsidRPr="001A1984">
        <w:rPr>
          <w:rFonts w:cs="QuranTaha"/>
          <w:sz w:val="28"/>
          <w:szCs w:val="28"/>
          <w:lang w:bidi="fa-IR"/>
        </w:rPr>
        <w:t>.</w:t>
      </w:r>
    </w:p>
    <w:p w14:paraId="72BCD463" w14:textId="38B8AE60" w:rsidR="001A1984" w:rsidRPr="001A1984" w:rsidRDefault="001A1984" w:rsidP="001A1984">
      <w:pPr>
        <w:jc w:val="center"/>
        <w:rPr>
          <w:rFonts w:cs="QuranTaha"/>
          <w:sz w:val="28"/>
          <w:szCs w:val="28"/>
          <w:lang w:bidi="fa-IR"/>
        </w:rPr>
      </w:pPr>
      <w:r w:rsidRPr="001A1984">
        <w:rPr>
          <w:rFonts w:cs="QuranTaha" w:hint="eastAsia"/>
          <w:sz w:val="28"/>
          <w:szCs w:val="28"/>
          <w:rtl/>
          <w:lang w:bidi="fa-IR"/>
        </w:rPr>
        <w:t>وأمّا</w:t>
      </w:r>
      <w:r w:rsidRPr="001A1984">
        <w:rPr>
          <w:rFonts w:cs="QuranTaha"/>
          <w:sz w:val="28"/>
          <w:szCs w:val="28"/>
          <w:rtl/>
          <w:lang w:bidi="fa-IR"/>
        </w:rPr>
        <w:t xml:space="preserve"> الجواب عن حجّة القول الأوّل فهو أنّ الأعمّ الأغلب أنّ بنت زوجة الإنسان تكون في تربيته، فهذا الكلام على الأعمّ، لا أنّ هذا القيد شرط في حصول هذا التحريم</w:t>
      </w:r>
      <w:r w:rsidRPr="001A1984">
        <w:rPr>
          <w:rFonts w:cs="QuranTaha"/>
          <w:sz w:val="28"/>
          <w:szCs w:val="28"/>
          <w:lang w:bidi="fa-IR"/>
        </w:rPr>
        <w:t>.»</w:t>
      </w:r>
    </w:p>
    <w:p w14:paraId="512CCCAF" w14:textId="200678A3" w:rsidR="001A1984" w:rsidRPr="001A1984" w:rsidRDefault="001A1984" w:rsidP="001A1984">
      <w:pPr>
        <w:jc w:val="center"/>
        <w:rPr>
          <w:rFonts w:cs="QuranTaha"/>
          <w:sz w:val="28"/>
          <w:szCs w:val="28"/>
          <w:lang w:bidi="fa-IR"/>
        </w:rPr>
      </w:pPr>
      <w:r w:rsidRPr="001A1984">
        <w:rPr>
          <w:rFonts w:cs="QuranTaha" w:hint="eastAsia"/>
          <w:sz w:val="28"/>
          <w:szCs w:val="28"/>
          <w:rtl/>
          <w:lang w:bidi="fa-IR"/>
        </w:rPr>
        <w:t>نظير</w:t>
      </w:r>
      <w:r w:rsidRPr="001A1984">
        <w:rPr>
          <w:rFonts w:cs="QuranTaha"/>
          <w:sz w:val="28"/>
          <w:szCs w:val="28"/>
          <w:rtl/>
          <w:lang w:bidi="fa-IR"/>
        </w:rPr>
        <w:t xml:space="preserve"> اين مطلب را م</w:t>
      </w:r>
      <w:r w:rsidRPr="001A1984">
        <w:rPr>
          <w:rFonts w:cs="QuranTaha" w:hint="cs"/>
          <w:sz w:val="28"/>
          <w:szCs w:val="28"/>
          <w:rtl/>
          <w:lang w:bidi="fa-IR"/>
        </w:rPr>
        <w:t>ی</w:t>
      </w:r>
      <w:r w:rsidRPr="001A1984">
        <w:rPr>
          <w:rFonts w:ascii="Calibri" w:hAnsi="Calibri" w:cs="Calibri" w:hint="cs"/>
          <w:sz w:val="28"/>
          <w:szCs w:val="28"/>
          <w:rtl/>
          <w:lang w:bidi="fa-IR"/>
        </w:rPr>
        <w:t>¬</w:t>
      </w:r>
      <w:r w:rsidRPr="001A1984">
        <w:rPr>
          <w:rFonts w:cs="QuranTaha" w:hint="cs"/>
          <w:sz w:val="28"/>
          <w:szCs w:val="28"/>
          <w:rtl/>
          <w:lang w:bidi="fa-IR"/>
        </w:rPr>
        <w:t>توان</w:t>
      </w:r>
      <w:r w:rsidRPr="001A1984">
        <w:rPr>
          <w:rFonts w:cs="QuranTaha"/>
          <w:sz w:val="28"/>
          <w:szCs w:val="28"/>
          <w:rtl/>
          <w:lang w:bidi="fa-IR"/>
        </w:rPr>
        <w:t xml:space="preserve"> از کلام مرحوم علامه نيز برداشت کرد، زيرا ايشان فرموده است: «ولا يفيد التخصيص بالذكر التخصيص في الحكم في قوله تعالى: «وَلَا تَقْتُلُوا أَوْلَادَكُمْ خَشْيَةَ إِمْلاقٍ»‏  ولا في قوله تعالى: «وَإِنْ خِفْتُمْ شِقَاقَ بَيْنِهِمَا فَابْع</w:t>
      </w:r>
      <w:r w:rsidRPr="001A1984">
        <w:rPr>
          <w:rFonts w:cs="QuranTaha" w:hint="eastAsia"/>
          <w:sz w:val="28"/>
          <w:szCs w:val="28"/>
          <w:rtl/>
          <w:lang w:bidi="fa-IR"/>
        </w:rPr>
        <w:t>َثُوا»</w:t>
      </w:r>
      <w:r w:rsidRPr="001A1984">
        <w:rPr>
          <w:rFonts w:cs="QuranTaha"/>
          <w:sz w:val="28"/>
          <w:szCs w:val="28"/>
          <w:rtl/>
          <w:lang w:bidi="fa-IR"/>
        </w:rPr>
        <w:t xml:space="preserve">  الآية، لأنّ التخصيص هنا للعادة</w:t>
      </w:r>
      <w:r w:rsidRPr="001A1984">
        <w:rPr>
          <w:rFonts w:cs="QuranTaha"/>
          <w:sz w:val="28"/>
          <w:szCs w:val="28"/>
          <w:lang w:bidi="fa-IR"/>
        </w:rPr>
        <w:t>.»</w:t>
      </w:r>
    </w:p>
    <w:p w14:paraId="7D9979DE" w14:textId="3EB52393" w:rsidR="001B24FC" w:rsidRPr="001A1984" w:rsidRDefault="001A1984" w:rsidP="001A1984">
      <w:pPr>
        <w:jc w:val="center"/>
        <w:rPr>
          <w:rtl/>
        </w:rPr>
      </w:pPr>
      <w:r w:rsidRPr="001A1984">
        <w:rPr>
          <w:rFonts w:cs="QuranTaha" w:hint="eastAsia"/>
          <w:sz w:val="28"/>
          <w:szCs w:val="28"/>
          <w:rtl/>
          <w:lang w:bidi="fa-IR"/>
        </w:rPr>
        <w:t>بق</w:t>
      </w:r>
      <w:r w:rsidRPr="001A1984">
        <w:rPr>
          <w:rFonts w:cs="QuranTaha" w:hint="cs"/>
          <w:sz w:val="28"/>
          <w:szCs w:val="28"/>
          <w:rtl/>
          <w:lang w:bidi="fa-IR"/>
        </w:rPr>
        <w:t>ی</w:t>
      </w:r>
      <w:r w:rsidRPr="001A1984">
        <w:rPr>
          <w:rFonts w:cs="QuranTaha" w:hint="eastAsia"/>
          <w:sz w:val="28"/>
          <w:szCs w:val="28"/>
          <w:rtl/>
          <w:lang w:bidi="fa-IR"/>
        </w:rPr>
        <w:t>ه</w:t>
      </w:r>
      <w:r w:rsidRPr="001A1984">
        <w:rPr>
          <w:rFonts w:cs="QuranTaha"/>
          <w:sz w:val="28"/>
          <w:szCs w:val="28"/>
          <w:rtl/>
          <w:lang w:bidi="fa-IR"/>
        </w:rPr>
        <w:t xml:space="preserve"> مطالب را جلسه آينده مطرح م</w:t>
      </w:r>
      <w:r w:rsidRPr="001A1984">
        <w:rPr>
          <w:rFonts w:cs="QuranTaha" w:hint="cs"/>
          <w:sz w:val="28"/>
          <w:szCs w:val="28"/>
          <w:rtl/>
          <w:lang w:bidi="fa-IR"/>
        </w:rPr>
        <w:t>ی</w:t>
      </w:r>
      <w:r w:rsidRPr="001A1984">
        <w:rPr>
          <w:rFonts w:ascii="Calibri" w:hAnsi="Calibri" w:cs="Calibri" w:hint="cs"/>
          <w:sz w:val="28"/>
          <w:szCs w:val="28"/>
          <w:rtl/>
          <w:lang w:bidi="fa-IR"/>
        </w:rPr>
        <w:t>¬</w:t>
      </w:r>
      <w:r w:rsidRPr="001A1984">
        <w:rPr>
          <w:rFonts w:cs="QuranTaha" w:hint="cs"/>
          <w:sz w:val="28"/>
          <w:szCs w:val="28"/>
          <w:rtl/>
          <w:lang w:bidi="fa-IR"/>
        </w:rPr>
        <w:t>کنيم</w:t>
      </w:r>
      <w:r w:rsidRPr="001A1984">
        <w:rPr>
          <w:rFonts w:cs="QuranTaha"/>
          <w:sz w:val="28"/>
          <w:szCs w:val="28"/>
          <w:rtl/>
          <w:lang w:bidi="fa-IR"/>
        </w:rPr>
        <w:t xml:space="preserve"> ان شاء الله</w:t>
      </w:r>
      <w:r w:rsidRPr="001A1984">
        <w:rPr>
          <w:rFonts w:cs="QuranTaha"/>
          <w:sz w:val="28"/>
          <w:szCs w:val="28"/>
          <w:lang w:bidi="fa-IR"/>
        </w:rPr>
        <w:t>.</w:t>
      </w:r>
    </w:p>
    <w:sectPr w:rsidR="001B24FC" w:rsidRPr="001A1984"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7C6930" w14:textId="77777777" w:rsidR="001C5C75" w:rsidRDefault="001C5C75" w:rsidP="00C336C5">
      <w:pPr>
        <w:spacing w:after="0" w:line="240" w:lineRule="auto"/>
      </w:pPr>
      <w:r>
        <w:separator/>
      </w:r>
    </w:p>
  </w:endnote>
  <w:endnote w:type="continuationSeparator" w:id="0">
    <w:p w14:paraId="5F10352F" w14:textId="77777777" w:rsidR="001C5C75" w:rsidRDefault="001C5C75" w:rsidP="00C336C5">
      <w:pPr>
        <w:spacing w:after="0" w:line="240" w:lineRule="auto"/>
      </w:pPr>
      <w:r>
        <w:continuationSeparator/>
      </w:r>
    </w:p>
  </w:endnote>
  <w:endnote w:type="continuationNotice" w:id="1">
    <w:p w14:paraId="0EB70A2B" w14:textId="77777777" w:rsidR="001C5C75" w:rsidRDefault="001C5C7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42CD05" w14:textId="77777777" w:rsidR="001C5C75" w:rsidRDefault="001C5C75" w:rsidP="00C336C5">
      <w:pPr>
        <w:bidi/>
        <w:spacing w:after="0" w:line="240" w:lineRule="auto"/>
      </w:pPr>
      <w:r>
        <w:separator/>
      </w:r>
    </w:p>
  </w:footnote>
  <w:footnote w:type="continuationSeparator" w:id="0">
    <w:p w14:paraId="3E286DBF" w14:textId="77777777" w:rsidR="001C5C75" w:rsidRDefault="001C5C75" w:rsidP="00C336C5">
      <w:pPr>
        <w:spacing w:after="0" w:line="240" w:lineRule="auto"/>
      </w:pPr>
      <w:r>
        <w:continuationSeparator/>
      </w:r>
    </w:p>
  </w:footnote>
  <w:footnote w:type="continuationNotice" w:id="1">
    <w:p w14:paraId="1B58A0FA" w14:textId="77777777" w:rsidR="001C5C75" w:rsidRDefault="001C5C7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6498A44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1A1984">
                            <w:rPr>
                              <w:rFonts w:cs="B Mehr" w:hint="cs"/>
                              <w:rtl/>
                              <w:lang w:bidi="fa-IR"/>
                            </w:rPr>
                            <w:t xml:space="preserve">سه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A1984">
                            <w:rPr>
                              <w:rFonts w:cs="B Mehr" w:hint="cs"/>
                              <w:rtl/>
                              <w:lang w:bidi="fa-IR"/>
                            </w:rPr>
                            <w:t>02</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6498A44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1A1984">
                      <w:rPr>
                        <w:rFonts w:cs="B Mehr" w:hint="cs"/>
                        <w:rtl/>
                        <w:lang w:bidi="fa-IR"/>
                      </w:rPr>
                      <w:t xml:space="preserve">سه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A1984">
                      <w:rPr>
                        <w:rFonts w:cs="B Mehr" w:hint="cs"/>
                        <w:rtl/>
                        <w:lang w:bidi="fa-IR"/>
                      </w:rPr>
                      <w:t>02</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4082</TotalTime>
  <Pages>1</Pages>
  <Words>411</Words>
  <Characters>2348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1137</cp:revision>
  <cp:lastPrinted>2025-04-15T09:36:00Z</cp:lastPrinted>
  <dcterms:created xsi:type="dcterms:W3CDTF">2022-10-16T08:36:00Z</dcterms:created>
  <dcterms:modified xsi:type="dcterms:W3CDTF">2025-04-22T09:00:00Z</dcterms:modified>
</cp:coreProperties>
</file>